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6528CD3E" w:rsidR="00FB26A2" w:rsidRPr="00912EF4" w:rsidRDefault="00FB26A2" w:rsidP="00912EF4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4C6BF87E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1365B8BE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F77E39">
        <w:rPr>
          <w:rFonts w:ascii="方正小标宋简体" w:eastAsia="方正小标宋简体" w:hint="eastAsia"/>
          <w:sz w:val="32"/>
          <w:szCs w:val="32"/>
        </w:rPr>
        <w:t>化学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F2E30C1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4629150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8962BC"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50CE8AF" w14:textId="0F02492B" w:rsidR="008962BC" w:rsidRPr="008962BC" w:rsidRDefault="008962BC" w:rsidP="008962BC">
                            <w:pPr>
                              <w:ind w:firstLineChars="200" w:firstLine="420"/>
                              <w:rPr>
                                <w:rFonts w:ascii="宋体" w:hAnsi="宋体"/>
                              </w:rPr>
                            </w:pPr>
                            <w:r w:rsidRPr="008962BC">
                              <w:rPr>
                                <w:rFonts w:ascii="宋体" w:hAnsi="宋体" w:hint="eastAsia"/>
                              </w:rPr>
                              <w:t>董昊课题组的研究主要是发展多尺度理论计算方法，并结合机器学习，针对复杂体系开展系统研究。研究方向包括如下四个方面：</w:t>
                            </w:r>
                          </w:p>
                          <w:p w14:paraId="62B44047" w14:textId="727ADD44" w:rsidR="008962BC" w:rsidRPr="008962BC" w:rsidRDefault="008962BC" w:rsidP="008962BC">
                            <w:pPr>
                              <w:ind w:firstLineChars="200" w:firstLine="420"/>
                              <w:rPr>
                                <w:rFonts w:ascii="宋体" w:hAnsi="宋体"/>
                              </w:rPr>
                            </w:pPr>
                            <w:r w:rsidRPr="008962BC">
                              <w:rPr>
                                <w:rFonts w:hint="eastAsia"/>
                              </w:rPr>
                              <w:t>（</w:t>
                            </w:r>
                            <w:r w:rsidRPr="008962BC">
                              <w:rPr>
                                <w:rFonts w:hint="eastAsia"/>
                              </w:rPr>
                              <w:t>1</w:t>
                            </w:r>
                            <w:r w:rsidRPr="008962BC">
                              <w:rPr>
                                <w:rFonts w:hint="eastAsia"/>
                              </w:rPr>
                              <w:t>）多尺度模拟理论方法的发展：</w:t>
                            </w:r>
                            <w:r w:rsidRPr="008962BC">
                              <w:rPr>
                                <w:rFonts w:ascii="宋体" w:hAnsi="宋体" w:hint="eastAsia"/>
                              </w:rPr>
                              <w:t>对微观尺度原子分子的电子结构、复杂化学体系、以及“米量级”宏观现象等多尺度科学问题的高效、准确计算是当前研究的重大挑战。针对上述难题，我们发展了一系列理论计算方法，包括大分子构象增强采样方法</w:t>
                            </w:r>
                            <w:r w:rsidRPr="008962BC">
                              <w:rPr>
                                <w:rFonts w:ascii="宋体" w:hAnsi="宋体"/>
                              </w:rPr>
                              <w:t>DA2/teDA2</w:t>
                            </w:r>
                            <w:r w:rsidRPr="008962BC">
                              <w:rPr>
                                <w:rFonts w:ascii="宋体" w:hAnsi="宋体" w:hint="eastAsia"/>
                              </w:rPr>
                              <w:t>、极化力场方法、疾病传播模型</w:t>
                            </w:r>
                            <w:r w:rsidRPr="008962BC">
                              <w:rPr>
                                <w:rFonts w:ascii="宋体" w:hAnsi="宋体"/>
                              </w:rPr>
                              <w:t>SID</w:t>
                            </w:r>
                            <w:r w:rsidRPr="008962BC">
                              <w:rPr>
                                <w:rFonts w:ascii="宋体" w:hAnsi="宋体" w:hint="eastAsia"/>
                              </w:rPr>
                              <w:t>等。</w:t>
                            </w:r>
                          </w:p>
                          <w:p w14:paraId="7240984C" w14:textId="77777777" w:rsidR="008962BC" w:rsidRPr="008962BC" w:rsidRDefault="008962BC" w:rsidP="008962BC">
                            <w:pPr>
                              <w:ind w:firstLineChars="200" w:firstLine="420"/>
                            </w:pPr>
                            <w:r w:rsidRPr="008962BC">
                              <w:rPr>
                                <w:rFonts w:hint="eastAsia"/>
                              </w:rPr>
                              <w:t>（</w:t>
                            </w:r>
                            <w:r w:rsidRPr="008962BC">
                              <w:rPr>
                                <w:rFonts w:hint="eastAsia"/>
                              </w:rPr>
                              <w:t>2</w:t>
                            </w:r>
                            <w:r w:rsidRPr="008962BC">
                              <w:rPr>
                                <w:rFonts w:hint="eastAsia"/>
                              </w:rPr>
                              <w:t>）生物大分子的结构、性质及功能：蛋白质与核酸是生命活动的主要执行者。对其结构与功能、相互作用和动态变化的研究，有助于揭示生命现象的本质。我们对若干重要的蛋白质（特别是膜蛋白）体系开展了深入系统的研究，并取得一系列重要成果。</w:t>
                            </w:r>
                          </w:p>
                          <w:p w14:paraId="6B7ADD34" w14:textId="77777777" w:rsidR="008962BC" w:rsidRPr="008962BC" w:rsidRDefault="008962BC" w:rsidP="008962BC">
                            <w:pPr>
                              <w:ind w:firstLineChars="200" w:firstLine="420"/>
                            </w:pPr>
                            <w:r w:rsidRPr="008962BC">
                              <w:rPr>
                                <w:rFonts w:hint="eastAsia"/>
                              </w:rPr>
                              <w:t>（</w:t>
                            </w:r>
                            <w:r w:rsidRPr="008962BC">
                              <w:rPr>
                                <w:rFonts w:hint="eastAsia"/>
                              </w:rPr>
                              <w:t>3</w:t>
                            </w:r>
                            <w:r w:rsidRPr="008962BC">
                              <w:rPr>
                                <w:rFonts w:hint="eastAsia"/>
                              </w:rPr>
                              <w:t>）计算驱动的功能材料设计与应用：以多尺度模拟为指导，结合实验合成与表征手段，发展（催化）功能材料相关的新概念、新策略、新方法和新反应，在原子水平揭示材料特殊性质的结构基础、演变规律及反应机制，理解材料结构与功能的内在关联。</w:t>
                            </w:r>
                          </w:p>
                          <w:p w14:paraId="7841754F" w14:textId="76C4DA29" w:rsidR="008962BC" w:rsidRPr="008962BC" w:rsidRDefault="008962BC" w:rsidP="008962BC">
                            <w:pPr>
                              <w:ind w:firstLineChars="200" w:firstLine="420"/>
                            </w:pPr>
                            <w:r w:rsidRPr="008962BC">
                              <w:rPr>
                                <w:rFonts w:hint="eastAsia"/>
                              </w:rPr>
                              <w:t>（</w:t>
                            </w:r>
                            <w:r w:rsidRPr="008962BC">
                              <w:rPr>
                                <w:rFonts w:hint="eastAsia"/>
                              </w:rPr>
                              <w:t>4</w:t>
                            </w:r>
                            <w:r w:rsidRPr="008962BC">
                              <w:rPr>
                                <w:rFonts w:hint="eastAsia"/>
                              </w:rPr>
                              <w:t>）机器学习在复杂体系中的应用：</w:t>
                            </w:r>
                            <w:r w:rsidRPr="008962BC">
                              <w:t>以机器学习为代表的人工智能在化学、生物、材料等领域的研究中正发挥越来越重要的作用。机器学习通过对大量数据的</w:t>
                            </w:r>
                            <w:r w:rsidRPr="008962BC">
                              <w:t>“</w:t>
                            </w:r>
                            <w:r w:rsidRPr="008962BC">
                              <w:t>学习</w:t>
                            </w:r>
                            <w:r w:rsidRPr="008962BC">
                              <w:t>”</w:t>
                            </w:r>
                            <w:r w:rsidRPr="008962BC">
                              <w:t>过程，寻找规则清晰但演化复杂的物理化学过程的科学规律。我们采用机器学习方法在量子力学精度的分子动力学模拟、化学逆合成路线分析、生命体集群行为及运动与脑功能相关课题开展了初步探索。研究工作正在进行中。</w:t>
                            </w:r>
                          </w:p>
                          <w:p w14:paraId="2E9C3BDE" w14:textId="023E46C0" w:rsidR="008962BC" w:rsidRPr="008962BC" w:rsidRDefault="008962BC" w:rsidP="008962BC">
                            <w:pPr>
                              <w:ind w:firstLineChars="200" w:firstLine="420"/>
                            </w:pPr>
                          </w:p>
                          <w:p w14:paraId="329D7D46" w14:textId="18486B56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EDBB494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AB7CEA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8962BC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364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8UDgIAACAEAAAOAAAAZHJzL2Uyb0RvYy54bWysU9tu2zAMfR+wfxD0vjjJ4q4x4hRdugwD&#10;ugvQ7QMUWY6FyaJGKbGzrx8lu2l2exmmB4EUqUPykFzd9K1hR4Vegy35bDLlTFkJlbb7kn/5vH1x&#10;zZkPwlbCgFUlPynPb9bPn606V6g5NGAqhYxArC86V/ImBFdkmZeNaoWfgFOWjDVgKwKpuM8qFB2h&#10;tyabT6dXWQdYOQSpvKfXu8HI1wm/rpUMH+vaq8BMySm3kG5M9y7e2Xolij0K12g5piH+IYtWaEtB&#10;z1B3Igh2QP0bVKslgoc6TCS0GdS1lirVQNXMpr9U89AIp1ItRI53Z5r8/4OVH44P7hOy0L+GnhqY&#10;ivDuHuRXzyxsGmH36hYRukaJigLPImVZ53wxfo1U+8JHkF33HipqsjgESEB9jW1khepkhE4NOJ1J&#10;V31gkh7zfPEyz8kkyba4mi9npMQYonj87tCHtwpaFoWSI3U1wYvjvQ+D66NLjObB6GqrjUkK7ncb&#10;g+woaAK26YzoP7kZy7qSL/N5PjDwV4hpOn+CaHWgUTa6Lfn12UkUkbc3tkqDFoQ2g0zVGTsSGbkb&#10;WAz9rifHSOgOqhNRijCMLK0YCQ3gd846GteS+28HgYoz885SW5azxSLOd1IW+as5KXhp2V1ahJUE&#10;VfLA2SBuQtqJSJiFW2pfrROxT5mMudIYptaMKxPn/FJPXk+Lvf4BAAD//wMAUEsDBBQABgAIAAAA&#10;IQCjVPFl3gAAAAcBAAAPAAAAZHJzL2Rvd25yZXYueG1sTI9BT8MwDIXvSPyHyEhcEEvH2NaWphNC&#10;AsENBoJr1nhtReKUJOvKv8ec4ObnZ733udpMzooRQ+w9KZjPMhBIjTc9tQreXu8vcxAxaTLaekIF&#10;3xhhU5+eVLo0/kgvOG5TKziEYqkVdCkNpZSx6dDpOPMDEnt7H5xOLEMrTdBHDndWXmXZSjrdEzd0&#10;esC7DpvP7cEpyK8fx4/4tHh+b1Z7W6SL9fjwFZQ6P5tub0AknNLfMfziMzrUzLTzBzJRWAX8SFJQ&#10;ZEsQ7ObrBS92PMyLJci6kv/56x8AAAD//wMAUEsBAi0AFAAGAAgAAAAhALaDOJL+AAAA4QEAABMA&#10;AAAAAAAAAAAAAAAAAAAAAFtDb250ZW50X1R5cGVzXS54bWxQSwECLQAUAAYACAAAACEAOP0h/9YA&#10;AACUAQAACwAAAAAAAAAAAAAAAAAvAQAAX3JlbHMvLnJlbHNQSwECLQAUAAYACAAAACEAEyy/FA4C&#10;AAAgBAAADgAAAAAAAAAAAAAAAAAuAgAAZHJzL2Uyb0RvYy54bWxQSwECLQAUAAYACAAAACEAo1Tx&#10;Zd4AAAAHAQAADwAAAAAAAAAAAAAAAABoBAAAZHJzL2Rvd25yZXYueG1sUEsFBgAAAAAEAAQA8wAA&#10;AHMFAAAAAA==&#10;">
                <v:textbox>
                  <w:txbxContent>
                    <w:p w14:paraId="34901AC0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8962BC"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50CE8AF" w14:textId="0F02492B" w:rsidR="008962BC" w:rsidRPr="008962BC" w:rsidRDefault="008962BC" w:rsidP="008962BC">
                      <w:pPr>
                        <w:ind w:firstLineChars="200" w:firstLine="420"/>
                        <w:rPr>
                          <w:rFonts w:ascii="宋体" w:hAnsi="宋体"/>
                        </w:rPr>
                      </w:pPr>
                      <w:r w:rsidRPr="008962BC">
                        <w:rPr>
                          <w:rFonts w:ascii="宋体" w:hAnsi="宋体" w:hint="eastAsia"/>
                        </w:rPr>
                        <w:t>董昊课题组的研究主要是发展多尺度理论计算方法，并结合机器学习，针对复杂体系开展系统研究。研究方向包括如下四个方面：</w:t>
                      </w:r>
                    </w:p>
                    <w:p w14:paraId="62B44047" w14:textId="727ADD44" w:rsidR="008962BC" w:rsidRPr="008962BC" w:rsidRDefault="008962BC" w:rsidP="008962BC">
                      <w:pPr>
                        <w:ind w:firstLineChars="200" w:firstLine="420"/>
                        <w:rPr>
                          <w:rFonts w:ascii="宋体" w:hAnsi="宋体"/>
                        </w:rPr>
                      </w:pPr>
                      <w:r w:rsidRPr="008962BC">
                        <w:rPr>
                          <w:rFonts w:hint="eastAsia"/>
                        </w:rPr>
                        <w:t>（</w:t>
                      </w:r>
                      <w:r w:rsidRPr="008962BC">
                        <w:rPr>
                          <w:rFonts w:hint="eastAsia"/>
                        </w:rPr>
                        <w:t>1</w:t>
                      </w:r>
                      <w:r w:rsidRPr="008962BC">
                        <w:rPr>
                          <w:rFonts w:hint="eastAsia"/>
                        </w:rPr>
                        <w:t>）多尺度模拟理论方法的发展：</w:t>
                      </w:r>
                      <w:r w:rsidRPr="008962BC">
                        <w:rPr>
                          <w:rFonts w:ascii="宋体" w:hAnsi="宋体" w:hint="eastAsia"/>
                        </w:rPr>
                        <w:t>对微观尺度原子分子的电子结构、复杂化学体系、以及“米量级”宏观现象等多尺度科学问题的高效、准确计算是当前研究的重大挑战。针对上述难题，我们发展了一系列理论计算方法，包括大分子构象增强采样方法</w:t>
                      </w:r>
                      <w:r w:rsidRPr="008962BC">
                        <w:rPr>
                          <w:rFonts w:ascii="宋体" w:hAnsi="宋体"/>
                        </w:rPr>
                        <w:t>DA2/teDA2</w:t>
                      </w:r>
                      <w:r w:rsidRPr="008962BC">
                        <w:rPr>
                          <w:rFonts w:ascii="宋体" w:hAnsi="宋体" w:hint="eastAsia"/>
                        </w:rPr>
                        <w:t>、极化力场方法、疾病传播模型</w:t>
                      </w:r>
                      <w:r w:rsidRPr="008962BC">
                        <w:rPr>
                          <w:rFonts w:ascii="宋体" w:hAnsi="宋体"/>
                        </w:rPr>
                        <w:t>SID</w:t>
                      </w:r>
                      <w:r w:rsidRPr="008962BC">
                        <w:rPr>
                          <w:rFonts w:ascii="宋体" w:hAnsi="宋体" w:hint="eastAsia"/>
                        </w:rPr>
                        <w:t>等。</w:t>
                      </w:r>
                    </w:p>
                    <w:p w14:paraId="7240984C" w14:textId="77777777" w:rsidR="008962BC" w:rsidRPr="008962BC" w:rsidRDefault="008962BC" w:rsidP="008962BC">
                      <w:pPr>
                        <w:ind w:firstLineChars="200" w:firstLine="420"/>
                      </w:pPr>
                      <w:r w:rsidRPr="008962BC">
                        <w:rPr>
                          <w:rFonts w:hint="eastAsia"/>
                        </w:rPr>
                        <w:t>（</w:t>
                      </w:r>
                      <w:r w:rsidRPr="008962BC">
                        <w:rPr>
                          <w:rFonts w:hint="eastAsia"/>
                        </w:rPr>
                        <w:t>2</w:t>
                      </w:r>
                      <w:r w:rsidRPr="008962BC">
                        <w:rPr>
                          <w:rFonts w:hint="eastAsia"/>
                        </w:rPr>
                        <w:t>）生物大分子的结构、性质及功能：蛋白质与核酸是生命活动的主要执行者。对其结构与功能、相互作用和动态变化的研究，有助于揭示生命现象的本质。我们对若干重要的蛋白质（特别是膜蛋白）体系开展了深入系统的研究，并取得一系列重要成果。</w:t>
                      </w:r>
                    </w:p>
                    <w:p w14:paraId="6B7ADD34" w14:textId="77777777" w:rsidR="008962BC" w:rsidRPr="008962BC" w:rsidRDefault="008962BC" w:rsidP="008962BC">
                      <w:pPr>
                        <w:ind w:firstLineChars="200" w:firstLine="420"/>
                      </w:pPr>
                      <w:r w:rsidRPr="008962BC">
                        <w:rPr>
                          <w:rFonts w:hint="eastAsia"/>
                        </w:rPr>
                        <w:t>（</w:t>
                      </w:r>
                      <w:r w:rsidRPr="008962BC">
                        <w:rPr>
                          <w:rFonts w:hint="eastAsia"/>
                        </w:rPr>
                        <w:t>3</w:t>
                      </w:r>
                      <w:r w:rsidRPr="008962BC">
                        <w:rPr>
                          <w:rFonts w:hint="eastAsia"/>
                        </w:rPr>
                        <w:t>）计算驱动的功能材料设计与应用：以多尺度模拟为指导，结合实验合成与表征手段，发展（催化）功能材料相关的新概念、新策略、新方法和新反应，在原子水平揭示材料特殊性质的结构基础、演变规律及反应机制，理解材料结构与功能的内在关联。</w:t>
                      </w:r>
                    </w:p>
                    <w:p w14:paraId="7841754F" w14:textId="76C4DA29" w:rsidR="008962BC" w:rsidRPr="008962BC" w:rsidRDefault="008962BC" w:rsidP="008962BC">
                      <w:pPr>
                        <w:ind w:firstLineChars="200" w:firstLine="420"/>
                      </w:pPr>
                      <w:r w:rsidRPr="008962BC">
                        <w:rPr>
                          <w:rFonts w:hint="eastAsia"/>
                        </w:rPr>
                        <w:t>（</w:t>
                      </w:r>
                      <w:r w:rsidRPr="008962BC">
                        <w:rPr>
                          <w:rFonts w:hint="eastAsia"/>
                        </w:rPr>
                        <w:t>4</w:t>
                      </w:r>
                      <w:r w:rsidRPr="008962BC">
                        <w:rPr>
                          <w:rFonts w:hint="eastAsia"/>
                        </w:rPr>
                        <w:t>）机器学习在复杂体系中的应用：</w:t>
                      </w:r>
                      <w:r w:rsidRPr="008962BC">
                        <w:t>以机器学习为代表的人工智能在化学、生物、材料等领域的研究中正发挥越来越重要的作用。机器学习通过对大量数据的</w:t>
                      </w:r>
                      <w:r w:rsidRPr="008962BC">
                        <w:t>“</w:t>
                      </w:r>
                      <w:r w:rsidRPr="008962BC">
                        <w:t>学习</w:t>
                      </w:r>
                      <w:r w:rsidRPr="008962BC">
                        <w:t>”</w:t>
                      </w:r>
                      <w:r w:rsidRPr="008962BC">
                        <w:t>过程，寻找规则清晰但演化复杂的物理化学过程的科学规律。我们采用机器学习方法在量子力学精度的分子动力学模拟、化学逆合成路线分析、生命体集群行为及运动与脑功能相关课题开展了初步探索。研究工作正在进行中。</w:t>
                      </w:r>
                    </w:p>
                    <w:p w14:paraId="2E9C3BDE" w14:textId="023E46C0" w:rsidR="008962BC" w:rsidRPr="008962BC" w:rsidRDefault="008962BC" w:rsidP="008962BC">
                      <w:pPr>
                        <w:ind w:firstLineChars="200" w:firstLine="420"/>
                      </w:pPr>
                    </w:p>
                    <w:p w14:paraId="329D7D46" w14:textId="18486B56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EDBB494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AB7CEA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8962BC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838D2AD" w14:textId="0DFC87D3" w:rsidR="00FB26A2" w:rsidRDefault="008962BC" w:rsidP="008962BC">
                            <w:pPr>
                              <w:ind w:firstLineChars="200" w:firstLine="42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希望同学对化学以及相关学科（物理、生物、计算机等）有广泛的兴趣和深入研究的志向。有基本的科学素养和一定的科学思维能力，对于实验现象、实验结果有独立的思考能力和质疑精神</w:t>
                            </w:r>
                            <w:r w:rsidR="00767489">
                              <w:rPr>
                                <w:rFonts w:ascii="宋体" w:hAnsi="宋体" w:hint="eastAsia"/>
                              </w:rPr>
                              <w:t>，有一定的资料、文献查找和阅读能力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。</w:t>
                            </w:r>
                          </w:p>
                          <w:p w14:paraId="06F6F72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4B73CDB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4A78A59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A7339E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838D2AD" w14:textId="0DFC87D3" w:rsidR="00FB26A2" w:rsidRDefault="008962BC" w:rsidP="008962BC">
                      <w:pPr>
                        <w:ind w:firstLineChars="200" w:firstLine="420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希望同学对化学以及相关学科（物理、生物、计算机等）有广泛的兴趣和深入研究的志向。有基本的科学素养和一定的科学思维能力，对于实验现象、实验结果有独立的思考能力和质疑精神</w:t>
                      </w:r>
                      <w:r w:rsidR="00767489">
                        <w:rPr>
                          <w:rFonts w:ascii="宋体" w:hAnsi="宋体" w:hint="eastAsia"/>
                        </w:rPr>
                        <w:t>，有一定的资料、文献查找和阅读能力</w:t>
                      </w:r>
                      <w:r>
                        <w:rPr>
                          <w:rFonts w:ascii="宋体" w:hAnsi="宋体" w:hint="eastAsia"/>
                        </w:rPr>
                        <w:t>。</w:t>
                      </w:r>
                    </w:p>
                    <w:p w14:paraId="06F6F72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4B73CDB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4A78A59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A7339E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043E3881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620A5AF1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69E386B3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58B364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495"/>
        <w:gridCol w:w="1276"/>
        <w:gridCol w:w="1843"/>
        <w:gridCol w:w="1559"/>
        <w:gridCol w:w="992"/>
        <w:gridCol w:w="851"/>
      </w:tblGrid>
      <w:tr w:rsidR="00FB26A2" w14:paraId="01861CF8" w14:textId="77777777" w:rsidTr="00105444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49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6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105444">
        <w:tc>
          <w:tcPr>
            <w:tcW w:w="768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AC1265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EE8285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B6150B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F62BA5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7993CCC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3625114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82911C1" w14:textId="77777777" w:rsidTr="00105444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DCCFF0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C60247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F6354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30AC9A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8A0796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105444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7C8B0F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93A032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1976F3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9937E5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B2EC69B" w14:textId="77777777" w:rsidTr="00105444">
        <w:tc>
          <w:tcPr>
            <w:tcW w:w="768" w:type="dxa"/>
            <w:vAlign w:val="center"/>
          </w:tcPr>
          <w:p w14:paraId="4085E83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6C29977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12A466C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807C3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CD56C8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52B06E7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58A06A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15ABF0D2" w14:textId="77777777" w:rsidTr="00105444">
        <w:tc>
          <w:tcPr>
            <w:tcW w:w="768" w:type="dxa"/>
            <w:vAlign w:val="center"/>
          </w:tcPr>
          <w:p w14:paraId="3C860525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C80384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DFCD65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7B77E8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57DE05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2914B85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1AF0745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031F5A08" w14:textId="77777777" w:rsidTr="00105444">
        <w:tc>
          <w:tcPr>
            <w:tcW w:w="768" w:type="dxa"/>
            <w:vAlign w:val="center"/>
          </w:tcPr>
          <w:p w14:paraId="0042592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C62A46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F49D39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E473DB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5E172EF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3A713D8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5532E2E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95B8C73" w14:textId="77777777" w:rsidTr="00105444">
        <w:tc>
          <w:tcPr>
            <w:tcW w:w="768" w:type="dxa"/>
            <w:vAlign w:val="center"/>
          </w:tcPr>
          <w:p w14:paraId="64CD84AD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3B67BB4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1588D99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3E0FD87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0F0DF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33AB719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33167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6CFFC5AB" w14:textId="77777777" w:rsidTr="00105444">
        <w:tc>
          <w:tcPr>
            <w:tcW w:w="768" w:type="dxa"/>
            <w:vAlign w:val="center"/>
          </w:tcPr>
          <w:p w14:paraId="3827E0C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6CE6492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991D68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ADFE61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A89D8A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549DE5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DE31DE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450736F" w14:textId="77777777" w:rsidTr="00105444">
        <w:tc>
          <w:tcPr>
            <w:tcW w:w="768" w:type="dxa"/>
            <w:vAlign w:val="center"/>
          </w:tcPr>
          <w:p w14:paraId="2B4F1048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1330680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4312E40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6C1B49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103997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0C67FFD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0CCECB0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5AAAFF3C" w14:textId="77777777" w:rsidTr="00105444">
        <w:tc>
          <w:tcPr>
            <w:tcW w:w="768" w:type="dxa"/>
            <w:vAlign w:val="center"/>
          </w:tcPr>
          <w:p w14:paraId="4D694EA0" w14:textId="77777777" w:rsidR="00FB26A2" w:rsidRPr="00A23894" w:rsidRDefault="00FB26A2" w:rsidP="00105444">
            <w:pPr>
              <w:rPr>
                <w:rFonts w:eastAsia="黑体"/>
                <w:sz w:val="28"/>
                <w:szCs w:val="32"/>
              </w:rPr>
            </w:pPr>
            <w:r w:rsidRPr="00A23894">
              <w:rPr>
                <w:rFonts w:eastAsia="黑体"/>
                <w:sz w:val="28"/>
                <w:szCs w:val="32"/>
              </w:rPr>
              <w:t>…</w:t>
            </w:r>
          </w:p>
        </w:tc>
        <w:tc>
          <w:tcPr>
            <w:tcW w:w="1495" w:type="dxa"/>
          </w:tcPr>
          <w:p w14:paraId="5BFA40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2A7B94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61EE4A71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DAAC17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ACBF79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DE58EF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130129CF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2</w:t>
            </w:r>
            <w:r w:rsidRPr="00767489">
              <w:rPr>
                <w:rFonts w:eastAsia="仿宋_GB2312"/>
                <w:sz w:val="24"/>
              </w:rPr>
              <w:t>023</w:t>
            </w:r>
            <w:r w:rsidRPr="00767489">
              <w:rPr>
                <w:rFonts w:eastAsia="仿宋_GB2312" w:hint="eastAsia"/>
                <w:sz w:val="24"/>
              </w:rPr>
              <w:t>年</w:t>
            </w:r>
            <w:r w:rsidR="00730EB0">
              <w:rPr>
                <w:rFonts w:eastAsia="仿宋_GB2312" w:hint="eastAsia"/>
                <w:sz w:val="24"/>
              </w:rPr>
              <w:t>春季</w:t>
            </w:r>
          </w:p>
        </w:tc>
        <w:tc>
          <w:tcPr>
            <w:tcW w:w="2452" w:type="dxa"/>
          </w:tcPr>
          <w:p w14:paraId="623B0948" w14:textId="769F9266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南京大学仙林校区</w:t>
            </w:r>
          </w:p>
        </w:tc>
        <w:tc>
          <w:tcPr>
            <w:tcW w:w="2651" w:type="dxa"/>
          </w:tcPr>
          <w:p w14:paraId="0DE00818" w14:textId="18310849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校园参观、课题讨论</w:t>
            </w:r>
          </w:p>
        </w:tc>
        <w:tc>
          <w:tcPr>
            <w:tcW w:w="1497" w:type="dxa"/>
          </w:tcPr>
          <w:p w14:paraId="66A33AA3" w14:textId="593C19E7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/>
                <w:sz w:val="24"/>
              </w:rPr>
              <w:t>6</w:t>
            </w:r>
            <w:r w:rsidRPr="00767489">
              <w:rPr>
                <w:rFonts w:eastAsia="仿宋_GB2312" w:hint="eastAsia"/>
                <w:sz w:val="24"/>
              </w:rPr>
              <w:t>人</w:t>
            </w: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52D7C749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2</w:t>
            </w:r>
            <w:r w:rsidRPr="00767489">
              <w:rPr>
                <w:rFonts w:eastAsia="仿宋_GB2312"/>
                <w:sz w:val="24"/>
              </w:rPr>
              <w:t>023</w:t>
            </w:r>
            <w:r w:rsidRPr="00767489">
              <w:rPr>
                <w:rFonts w:eastAsia="仿宋_GB2312" w:hint="eastAsia"/>
                <w:sz w:val="24"/>
              </w:rPr>
              <w:t>年暑期</w:t>
            </w:r>
          </w:p>
        </w:tc>
        <w:tc>
          <w:tcPr>
            <w:tcW w:w="2452" w:type="dxa"/>
          </w:tcPr>
          <w:p w14:paraId="50FD4204" w14:textId="0803D797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南京大学仙林校区</w:t>
            </w:r>
          </w:p>
        </w:tc>
        <w:tc>
          <w:tcPr>
            <w:tcW w:w="2651" w:type="dxa"/>
          </w:tcPr>
          <w:p w14:paraId="1EDA6341" w14:textId="121C8619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课题中期研讨</w:t>
            </w:r>
          </w:p>
        </w:tc>
        <w:tc>
          <w:tcPr>
            <w:tcW w:w="1497" w:type="dxa"/>
          </w:tcPr>
          <w:p w14:paraId="3B1E7940" w14:textId="0FBBD363" w:rsidR="00FB26A2" w:rsidRPr="00767489" w:rsidRDefault="00767489" w:rsidP="00105444">
            <w:pPr>
              <w:rPr>
                <w:rFonts w:eastAsia="仿宋_GB2312"/>
                <w:sz w:val="24"/>
              </w:rPr>
            </w:pPr>
            <w:r w:rsidRPr="00767489">
              <w:rPr>
                <w:rFonts w:eastAsia="仿宋_GB2312" w:hint="eastAsia"/>
                <w:sz w:val="24"/>
              </w:rPr>
              <w:t>6</w:t>
            </w:r>
            <w:r w:rsidRPr="00767489">
              <w:rPr>
                <w:rFonts w:eastAsia="仿宋_GB2312" w:hint="eastAsia"/>
                <w:sz w:val="24"/>
              </w:rPr>
              <w:t>人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4A76"/>
    <w:multiLevelType w:val="hybridMultilevel"/>
    <w:tmpl w:val="0994AF98"/>
    <w:lvl w:ilvl="0" w:tplc="0074A186">
      <w:start w:val="3"/>
      <w:numFmt w:val="decimal"/>
      <w:lvlText w:val="（%1）"/>
      <w:lvlJc w:val="left"/>
      <w:pPr>
        <w:ind w:left="114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3EF48F3"/>
    <w:multiLevelType w:val="hybridMultilevel"/>
    <w:tmpl w:val="440AA0F0"/>
    <w:lvl w:ilvl="0" w:tplc="FFFFFFFF">
      <w:start w:val="1"/>
      <w:numFmt w:val="decimal"/>
      <w:lvlText w:val="（%1）"/>
      <w:lvlJc w:val="left"/>
      <w:pPr>
        <w:ind w:left="720" w:hanging="720"/>
      </w:pPr>
      <w:rPr>
        <w:rFonts w:ascii="Times New Roman" w:eastAsia="宋体" w:hAnsi="Times New Roman" w:cs="Times New Roman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B261F6"/>
    <w:multiLevelType w:val="hybridMultilevel"/>
    <w:tmpl w:val="682CF0A8"/>
    <w:lvl w:ilvl="0" w:tplc="14F8E5A8">
      <w:start w:val="1"/>
      <w:numFmt w:val="decimal"/>
      <w:lvlText w:val="（%1）"/>
      <w:lvlJc w:val="left"/>
      <w:pPr>
        <w:ind w:left="720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0E96D64"/>
    <w:multiLevelType w:val="hybridMultilevel"/>
    <w:tmpl w:val="D1322C68"/>
    <w:lvl w:ilvl="0" w:tplc="43AC9E2E">
      <w:start w:val="2"/>
      <w:numFmt w:val="decimal"/>
      <w:lvlText w:val="（%1）"/>
      <w:lvlJc w:val="left"/>
      <w:pPr>
        <w:ind w:left="1142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 w16cid:durableId="246816517">
    <w:abstractNumId w:val="2"/>
  </w:num>
  <w:num w:numId="2" w16cid:durableId="1133984670">
    <w:abstractNumId w:val="1"/>
  </w:num>
  <w:num w:numId="3" w16cid:durableId="1974209784">
    <w:abstractNumId w:val="4"/>
  </w:num>
  <w:num w:numId="4" w16cid:durableId="1720976688">
    <w:abstractNumId w:val="3"/>
  </w:num>
  <w:num w:numId="5" w16cid:durableId="19207483">
    <w:abstractNumId w:val="5"/>
  </w:num>
  <w:num w:numId="6" w16cid:durableId="2753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730EB0"/>
    <w:rsid w:val="00750515"/>
    <w:rsid w:val="00767489"/>
    <w:rsid w:val="007B3A43"/>
    <w:rsid w:val="008962BC"/>
    <w:rsid w:val="00912EF4"/>
    <w:rsid w:val="00F77E39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962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4</cp:revision>
  <dcterms:created xsi:type="dcterms:W3CDTF">2022-10-13T06:11:00Z</dcterms:created>
  <dcterms:modified xsi:type="dcterms:W3CDTF">2022-10-27T07:08:00Z</dcterms:modified>
</cp:coreProperties>
</file>