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1047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992"/>
        <w:gridCol w:w="878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tblHeader/>
          <w:jc w:val="center"/>
        </w:trPr>
        <w:tc>
          <w:tcPr>
            <w:tcW w:w="69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87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主要规格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516" w:hRule="atLeast"/>
          <w:jc w:val="center"/>
        </w:trPr>
        <w:tc>
          <w:tcPr>
            <w:tcW w:w="69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</w:rPr>
              <w:t>LED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Hans"/>
              </w:rPr>
              <w:t>屏</w:t>
            </w:r>
          </w:p>
        </w:tc>
        <w:tc>
          <w:tcPr>
            <w:tcW w:w="8789" w:type="dxa"/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(1)▲由于场地尺寸限制，屏幕尺寸应≤宽×高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2400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m（±1%）×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1080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m（±1%），面积≥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2.6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㎡，整屏分辨率≤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1920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864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(2)▲LED灯管采用1R1G1B表贴三合一颗粒。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(3)▲像素点间距≤1.25mm，像素密度≥640000 点/㎡ 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(4)▲箱体比例为8：9，单元箱体分辨率≤384*432；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(5)▲产品亮度≥650cd/㎡，LED显示屏峰值功耗≤680W/㎡，平均功耗≤180W/㎡；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(6)▲垂直和水平视角≥160°；对比度≥5000：1；色温范围3000K-10000K可调；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(7)▲刷新率≥3840Hz；换帧频率60Hz；模组亮度均匀性≥95%；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(8)模组平整度≤0.2mm；像素中心距相对偏差≤2%；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(9)▲NTSC色域覆盖率≥110%；PAL色域≥110%；SRGB色域≥120%；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(10)100%亮度条件下，灰度等级16bit；60%亮度条件下，灰度等级13bit；20%亮度条件下，灰度等级12bit；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(11)▲为了确保屏幕具有更好的蓝光保护处理技术，产品测试蓝光辐射亮度≤0.144W/m2.sr.nm                      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(12)▲LED显示屏单元箱体非金属材料需符合GB5169.16 着火危险测试，水平燃烧测试达到HB级，垂直燃烧测试达到V0级。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(13)▲显示屏具备色域空间变换功能，支持YUV,sRGB,Adobe,XYZ等色彩空间转换；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(14)▲产品支持模块、驱动全前维护安装维修，电源、转接板可以前拆前装，可直接贴墙安装，贴墙安装整屏厚度最薄可到10cm；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(15)LED显示屏具备远程监控功能，可实现远程监督控制，对可能发生的潜在故障记录日志，并向操作员发出报警信号。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(16)▲投标LED显示屏支持模块、电源、卡支持纯前维护和后维护；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(17)LED显示屏具备自检技术，支持LED单点检测、通讯检测、电源检测、温度监控； 以上2-17项技术参数须提供具有CNAS认证、CMA认证或者ilac-MRA认证的第三方权威检测机构出具的检验报告复印件加盖鲜章</w:t>
            </w:r>
            <w:r>
              <w:rPr>
                <w:rFonts w:hint="eastAsia"/>
                <w:sz w:val="24"/>
                <w:szCs w:val="24"/>
                <w:lang w:val="en-US" w:eastAsia="zh-Hans"/>
              </w:rPr>
              <w:t>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eastAsia="zh-CN"/>
              </w:rPr>
              <w:t>(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/>
                <w:sz w:val="24"/>
                <w:szCs w:val="24"/>
                <w:lang w:eastAsia="zh-CN"/>
              </w:rPr>
              <w:t>8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)★提供大屏制造商3C认证证书复印件，并加盖厂商公章；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869" w:hRule="atLeast"/>
          <w:jc w:val="center"/>
        </w:trPr>
        <w:tc>
          <w:tcPr>
            <w:tcW w:w="69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接收卡</w:t>
            </w:r>
          </w:p>
        </w:tc>
        <w:tc>
          <w:tcPr>
            <w:tcW w:w="8789" w:type="dxa"/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一路音频输入；</w:t>
            </w:r>
          </w:p>
          <w:p>
            <w:pPr>
              <w:pStyle w:val="19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一路DVI视频输入；</w:t>
            </w:r>
          </w:p>
          <w:p>
            <w:pPr>
              <w:pStyle w:val="19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支持三种取电方式；</w:t>
            </w:r>
          </w:p>
          <w:p>
            <w:pPr>
              <w:pStyle w:val="19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支持色度还原功能；</w:t>
            </w:r>
          </w:p>
          <w:p>
            <w:pPr>
              <w:pStyle w:val="19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具有DVI双备份功能；</w:t>
            </w:r>
          </w:p>
          <w:p>
            <w:pPr>
              <w:pStyle w:val="19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USB接口调试，可在同一台PC上级联多张发送卡控制；</w:t>
            </w:r>
          </w:p>
          <w:p>
            <w:pPr>
              <w:pStyle w:val="19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单张发送卡带载130万个像素点，单网口带载65万个像素点，图像位置可以任意设置；</w:t>
            </w:r>
          </w:p>
          <w:p>
            <w:pPr>
              <w:pStyle w:val="19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支持多种分辨率：1024×768、1280×1024、1366×768、1600×1200、1920×1080、2048×1152、2560×960，并支持分辨率回读功能；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869" w:hRule="atLeast"/>
          <w:jc w:val="center"/>
        </w:trPr>
        <w:tc>
          <w:tcPr>
            <w:tcW w:w="69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控制器</w:t>
            </w:r>
          </w:p>
        </w:tc>
        <w:tc>
          <w:tcPr>
            <w:tcW w:w="8789" w:type="dxa"/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aseline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网口输出可同步传输音频信号。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aseline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双WIFI连接：可同时启用WIFI AP和WIF</w:t>
            </w: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STA模式，在移动端设备无线直连控制的同时，可通过无线接入网络当中。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aseline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有线连接：可通过网线，经路由器接入网络或与电脑直连建立通讯。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aseline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4G网络连接：可选配4G模块，接入运营商提供的4G网络。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aseline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USB连接：通过USB与计算机上位机直连通讯，或直接读取扩展U盘中的文件</w:t>
            </w:r>
          </w:p>
          <w:p>
            <w:pPr>
              <w:pStyle w:val="19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支持HDMI信号输入，并可对输入信号进行缩放处理。用户可以一键完成同异步模式切换，显示外部视频信号或内部播放信号。</w:t>
            </w:r>
          </w:p>
          <w:p>
            <w:pPr>
              <w:pStyle w:val="19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预留亮度及温度传感器接口，接入传感器后可实时监测环境亮度及温度，自动调节显示屏亮度。实现集群显示控制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869" w:hRule="atLeast"/>
          <w:jc w:val="center"/>
        </w:trPr>
        <w:tc>
          <w:tcPr>
            <w:tcW w:w="69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Hans"/>
              </w:rPr>
              <w:t>信息发布平台</w:t>
            </w:r>
          </w:p>
        </w:tc>
        <w:tc>
          <w:tcPr>
            <w:tcW w:w="8789" w:type="dxa"/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Hans" w:bidi="ar-SA"/>
              </w:rPr>
              <w:t>一键发布内容，方便快捷；采用无线传输方式；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869" w:hRule="atLeast"/>
          <w:jc w:val="center"/>
        </w:trPr>
        <w:tc>
          <w:tcPr>
            <w:tcW w:w="69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rtl w:val="0"/>
                <w:lang w:val="zh-TW" w:eastAsia="zh-TW"/>
              </w:rPr>
              <w:t>配电系统</w:t>
            </w:r>
          </w:p>
        </w:tc>
        <w:tc>
          <w:tcPr>
            <w:tcW w:w="8789" w:type="dxa"/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rtl w:val="0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  <w:rtl w:val="0"/>
                <w:lang w:val="en-US"/>
              </w:rPr>
              <w:t>KW</w:t>
            </w:r>
            <w:r>
              <w:rPr>
                <w:rFonts w:hint="eastAsia" w:ascii="宋体" w:hAnsi="宋体" w:eastAsia="宋体" w:cs="宋体"/>
                <w:sz w:val="24"/>
                <w:szCs w:val="24"/>
                <w:rtl w:val="0"/>
                <w:lang w:val="zh-TW" w:eastAsia="zh-TW"/>
              </w:rPr>
              <w:t>大屏专用（ 空开 漏点保护</w:t>
            </w:r>
            <w:r>
              <w:rPr>
                <w:rFonts w:hint="eastAsia" w:ascii="宋体" w:hAnsi="宋体" w:cs="宋体"/>
                <w:sz w:val="24"/>
                <w:szCs w:val="24"/>
                <w:rtl w:val="0"/>
                <w:lang w:val="en-US" w:eastAsia="zh-CN"/>
              </w:rPr>
              <w:t xml:space="preserve"> 定时开关机</w:t>
            </w:r>
            <w:r>
              <w:rPr>
                <w:rFonts w:hint="eastAsia" w:ascii="宋体" w:hAnsi="宋体" w:eastAsia="宋体" w:cs="宋体"/>
                <w:sz w:val="24"/>
                <w:szCs w:val="24"/>
                <w:rtl w:val="0"/>
                <w:lang w:val="zh-TW" w:eastAsia="zh-TW"/>
              </w:rPr>
              <w:t xml:space="preserve"> 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869" w:hRule="atLeast"/>
          <w:jc w:val="center"/>
        </w:trPr>
        <w:tc>
          <w:tcPr>
            <w:tcW w:w="69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rtl w:val="0"/>
                <w:lang w:val="en-US" w:eastAsia="zh-Hans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rtl w:val="0"/>
                <w:lang w:val="en-US" w:eastAsia="zh-Hans"/>
              </w:rPr>
              <w:t>温湿系统</w:t>
            </w:r>
          </w:p>
        </w:tc>
        <w:tc>
          <w:tcPr>
            <w:tcW w:w="8789" w:type="dxa"/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eastAsia" w:ascii="宋体" w:hAnsi="宋体" w:eastAsia="宋体" w:cs="宋体"/>
                <w:sz w:val="24"/>
                <w:szCs w:val="24"/>
                <w:rtl w:val="0"/>
                <w:lang w:val="en-US" w:eastAsia="zh-Hans"/>
              </w:rPr>
            </w:pPr>
            <w:r>
              <w:rPr>
                <w:rFonts w:hint="eastAsia" w:ascii="宋体" w:hAnsi="宋体" w:cs="宋体"/>
                <w:sz w:val="24"/>
                <w:szCs w:val="24"/>
                <w:rtl w:val="0"/>
                <w:lang w:val="en-US" w:eastAsia="zh-Hans"/>
              </w:rPr>
              <w:t>有效的湿度控制及除湿设备，确保雨天没有较强的水气残留玻璃橱窗内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891" w:hRule="atLeast"/>
          <w:jc w:val="center"/>
        </w:trPr>
        <w:tc>
          <w:tcPr>
            <w:tcW w:w="69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7</w:t>
            </w:r>
            <w:bookmarkStart w:id="0" w:name="_GoBack"/>
            <w:bookmarkEnd w:id="0"/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rtl w:val="0"/>
                <w:lang w:val="zh-TW" w:eastAsia="zh-TW"/>
              </w:rPr>
              <w:t>显示屏框架</w:t>
            </w:r>
          </w:p>
        </w:tc>
        <w:tc>
          <w:tcPr>
            <w:tcW w:w="8789" w:type="dxa"/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eastAsia" w:ascii="宋体" w:hAnsi="宋体" w:eastAsia="宋体" w:cs="宋体"/>
                <w:sz w:val="24"/>
                <w:szCs w:val="24"/>
                <w:rtl w:val="0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rtl w:val="0"/>
                <w:lang w:val="zh-TW" w:eastAsia="zh-TW"/>
              </w:rPr>
              <w:t>主体钢架尺寸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2500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mm*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1180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mm=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2.95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㎡</w:t>
            </w:r>
            <w:r>
              <w:rPr>
                <w:rFonts w:hint="eastAsia" w:ascii="宋体" w:hAnsi="宋体" w:eastAsia="宋体" w:cs="宋体"/>
                <w:sz w:val="24"/>
                <w:szCs w:val="24"/>
                <w:rtl w:val="0"/>
                <w:lang w:val="zh-TW" w:eastAsia="zh-TW"/>
              </w:rPr>
              <w:t>：（包边一般不锈钢、黑色铝型材或铝塑板），框架由</w:t>
            </w:r>
            <w:r>
              <w:rPr>
                <w:rFonts w:hint="eastAsia" w:ascii="宋体" w:hAnsi="宋体" w:eastAsia="宋体" w:cs="宋体"/>
                <w:sz w:val="24"/>
                <w:szCs w:val="24"/>
                <w:rtl w:val="0"/>
                <w:lang w:val="en-US"/>
              </w:rPr>
              <w:t>40mm X 40mm 1.5mm</w:t>
            </w:r>
            <w:r>
              <w:rPr>
                <w:rFonts w:hint="eastAsia" w:ascii="宋体" w:hAnsi="宋体" w:eastAsia="宋体" w:cs="宋体"/>
                <w:sz w:val="24"/>
                <w:szCs w:val="24"/>
                <w:rtl w:val="0"/>
                <w:lang w:val="zh-TW" w:eastAsia="zh-TW"/>
              </w:rPr>
              <w:t>厚镀锌方管、国标角钢焊接而成，整体密封与防水处理；</w:t>
            </w:r>
          </w:p>
        </w:tc>
      </w:tr>
    </w:tbl>
    <w:p>
      <w:pPr>
        <w:rPr>
          <w:szCs w:val="21"/>
        </w:rPr>
      </w:pPr>
    </w:p>
    <w:p>
      <w:pPr>
        <w:rPr>
          <w:szCs w:val="21"/>
        </w:rPr>
      </w:pPr>
    </w:p>
    <w:p/>
    <w:p/>
    <w:p/>
    <w:p>
      <w:pPr>
        <w:rPr>
          <w:rFonts w:hint="default"/>
          <w:lang w:val="en-US" w:eastAsia="zh-CN"/>
        </w:rPr>
      </w:pPr>
    </w:p>
    <w:p>
      <w:pPr>
        <w:bidi w:val="0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1489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headerReference r:id="rId3" w:type="default"/>
      <w:pgSz w:w="11906" w:h="16838"/>
      <w:pgMar w:top="720" w:right="720" w:bottom="720" w:left="720" w:header="45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458"/>
        <w:tab w:val="clear" w:pos="4153"/>
      </w:tabs>
      <w:jc w:val="left"/>
      <w:rPr>
        <w:rFonts w:hint="default" w:eastAsia="宋体"/>
        <w:b/>
        <w:bCs/>
        <w:sz w:val="24"/>
        <w:szCs w:val="24"/>
        <w:lang w:val="en-US" w:eastAsia="zh-CN"/>
      </w:rPr>
    </w:pPr>
    <w:r>
      <w:rPr>
        <w:rFonts w:hint="default"/>
        <w:sz w:val="21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24130</wp:posOffset>
              </wp:positionH>
              <wp:positionV relativeFrom="paragraph">
                <wp:posOffset>154940</wp:posOffset>
              </wp:positionV>
              <wp:extent cx="6632575" cy="889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81330" y="443230"/>
                        <a:ext cx="6632575" cy="889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1.9pt;margin-top:12.2pt;height:0.7pt;width:522.25pt;z-index:251659264;mso-width-relative:page;mso-height-relative:page;" filled="f" stroked="t" coordsize="21600,21600" o:gfxdata="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Cp+s83YAAAACAEAAA8AAAAAAAAAAQAgAAAAOAAAAGRycy9kb3du&#10;cmV2LnhtbFBLAQIUABQAAAAIAIdO4kBnZ2Im6QEAAJIDAAAOAAAAAAAAAAEAIAAAAD0BAABkcnMv&#10;ZTJvRG9jLnhtbFBLBQYAAAAABgAGAFkBAACYBQAAAAA=&#10;">
              <v:fill on="f" focussize="0,0"/>
              <v:stroke color="#4A7EBB [3204]" joinstyle="round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424AD"/>
    <w:rsid w:val="00042E67"/>
    <w:rsid w:val="00082290"/>
    <w:rsid w:val="000B2B81"/>
    <w:rsid w:val="000C78C0"/>
    <w:rsid w:val="000E5CB3"/>
    <w:rsid w:val="001262A5"/>
    <w:rsid w:val="001305E9"/>
    <w:rsid w:val="001341F3"/>
    <w:rsid w:val="0015399D"/>
    <w:rsid w:val="00156E81"/>
    <w:rsid w:val="001733AA"/>
    <w:rsid w:val="001B1BC2"/>
    <w:rsid w:val="001C0F92"/>
    <w:rsid w:val="001C1F1C"/>
    <w:rsid w:val="001C6215"/>
    <w:rsid w:val="001F2015"/>
    <w:rsid w:val="00244CB7"/>
    <w:rsid w:val="00297CEC"/>
    <w:rsid w:val="002A026D"/>
    <w:rsid w:val="002E4F10"/>
    <w:rsid w:val="002E6E03"/>
    <w:rsid w:val="00370300"/>
    <w:rsid w:val="00373EF3"/>
    <w:rsid w:val="003A1535"/>
    <w:rsid w:val="003A4AD1"/>
    <w:rsid w:val="003A6B36"/>
    <w:rsid w:val="003A7D37"/>
    <w:rsid w:val="003C56C1"/>
    <w:rsid w:val="003D262E"/>
    <w:rsid w:val="00425A97"/>
    <w:rsid w:val="004545E8"/>
    <w:rsid w:val="00474FC3"/>
    <w:rsid w:val="00486255"/>
    <w:rsid w:val="004A640A"/>
    <w:rsid w:val="004A6A6F"/>
    <w:rsid w:val="004B6C73"/>
    <w:rsid w:val="004F7735"/>
    <w:rsid w:val="00515814"/>
    <w:rsid w:val="00526CCC"/>
    <w:rsid w:val="00550AEA"/>
    <w:rsid w:val="005716D8"/>
    <w:rsid w:val="0057602F"/>
    <w:rsid w:val="00635A7E"/>
    <w:rsid w:val="00637863"/>
    <w:rsid w:val="00637917"/>
    <w:rsid w:val="00640B73"/>
    <w:rsid w:val="00662CA4"/>
    <w:rsid w:val="006815A7"/>
    <w:rsid w:val="006A76AD"/>
    <w:rsid w:val="006B1D28"/>
    <w:rsid w:val="006F4176"/>
    <w:rsid w:val="006F5712"/>
    <w:rsid w:val="00700379"/>
    <w:rsid w:val="0073618D"/>
    <w:rsid w:val="007A2BB5"/>
    <w:rsid w:val="007D2FCB"/>
    <w:rsid w:val="007F5896"/>
    <w:rsid w:val="007F78C5"/>
    <w:rsid w:val="00821F56"/>
    <w:rsid w:val="00826997"/>
    <w:rsid w:val="00826BF6"/>
    <w:rsid w:val="008542C4"/>
    <w:rsid w:val="0085487A"/>
    <w:rsid w:val="008612CA"/>
    <w:rsid w:val="00863C9F"/>
    <w:rsid w:val="008852E5"/>
    <w:rsid w:val="0089107F"/>
    <w:rsid w:val="008B45CE"/>
    <w:rsid w:val="00912649"/>
    <w:rsid w:val="00913A60"/>
    <w:rsid w:val="00945B5C"/>
    <w:rsid w:val="00956223"/>
    <w:rsid w:val="009C60D5"/>
    <w:rsid w:val="009F3093"/>
    <w:rsid w:val="00A55924"/>
    <w:rsid w:val="00A83A8C"/>
    <w:rsid w:val="00A90320"/>
    <w:rsid w:val="00AB3E1C"/>
    <w:rsid w:val="00AB71E5"/>
    <w:rsid w:val="00B060DC"/>
    <w:rsid w:val="00B13CC3"/>
    <w:rsid w:val="00B43899"/>
    <w:rsid w:val="00B445B7"/>
    <w:rsid w:val="00B9323F"/>
    <w:rsid w:val="00BB6DE2"/>
    <w:rsid w:val="00BD5C4F"/>
    <w:rsid w:val="00BE22BB"/>
    <w:rsid w:val="00C13CDD"/>
    <w:rsid w:val="00C16066"/>
    <w:rsid w:val="00C32A2D"/>
    <w:rsid w:val="00C40AD6"/>
    <w:rsid w:val="00C653CC"/>
    <w:rsid w:val="00C9050D"/>
    <w:rsid w:val="00CB3CA3"/>
    <w:rsid w:val="00CC09EC"/>
    <w:rsid w:val="00CD1B92"/>
    <w:rsid w:val="00CE0A3D"/>
    <w:rsid w:val="00CF67E4"/>
    <w:rsid w:val="00D01D21"/>
    <w:rsid w:val="00D43E82"/>
    <w:rsid w:val="00D531A4"/>
    <w:rsid w:val="00DF2623"/>
    <w:rsid w:val="00E118D2"/>
    <w:rsid w:val="00E2003F"/>
    <w:rsid w:val="00E532EA"/>
    <w:rsid w:val="00E55CF8"/>
    <w:rsid w:val="00E719CE"/>
    <w:rsid w:val="00EB2D13"/>
    <w:rsid w:val="00EB5FB4"/>
    <w:rsid w:val="00EB6D23"/>
    <w:rsid w:val="00EC2423"/>
    <w:rsid w:val="00ED62E2"/>
    <w:rsid w:val="00F60CD1"/>
    <w:rsid w:val="00F70DFA"/>
    <w:rsid w:val="00F7235A"/>
    <w:rsid w:val="01434B11"/>
    <w:rsid w:val="02CD4476"/>
    <w:rsid w:val="044648F7"/>
    <w:rsid w:val="04EF26B6"/>
    <w:rsid w:val="04FC2E18"/>
    <w:rsid w:val="072A5138"/>
    <w:rsid w:val="08CC36E6"/>
    <w:rsid w:val="0A3C6B7D"/>
    <w:rsid w:val="0A794A63"/>
    <w:rsid w:val="0B9D0771"/>
    <w:rsid w:val="0C4B4C50"/>
    <w:rsid w:val="0C7B0966"/>
    <w:rsid w:val="0C9B02A3"/>
    <w:rsid w:val="0CEE3CAF"/>
    <w:rsid w:val="0D797F12"/>
    <w:rsid w:val="0DAF4734"/>
    <w:rsid w:val="0F1B524E"/>
    <w:rsid w:val="0F4A0C9B"/>
    <w:rsid w:val="0F521E2B"/>
    <w:rsid w:val="0FFB6250"/>
    <w:rsid w:val="1189526D"/>
    <w:rsid w:val="122C0D40"/>
    <w:rsid w:val="12AB001C"/>
    <w:rsid w:val="12D52D2D"/>
    <w:rsid w:val="13541449"/>
    <w:rsid w:val="14356EE3"/>
    <w:rsid w:val="14DF6D45"/>
    <w:rsid w:val="17C37574"/>
    <w:rsid w:val="193C40DF"/>
    <w:rsid w:val="1A912878"/>
    <w:rsid w:val="1B610759"/>
    <w:rsid w:val="1BD26CB4"/>
    <w:rsid w:val="1BFE0653"/>
    <w:rsid w:val="1D415B2E"/>
    <w:rsid w:val="1ED82C7C"/>
    <w:rsid w:val="1FE475C3"/>
    <w:rsid w:val="20257937"/>
    <w:rsid w:val="20480E6E"/>
    <w:rsid w:val="20FD799D"/>
    <w:rsid w:val="21703C87"/>
    <w:rsid w:val="21EA5E35"/>
    <w:rsid w:val="22A82412"/>
    <w:rsid w:val="22E6582B"/>
    <w:rsid w:val="2488660B"/>
    <w:rsid w:val="257C68E0"/>
    <w:rsid w:val="268845D3"/>
    <w:rsid w:val="26A45F77"/>
    <w:rsid w:val="26EF1D94"/>
    <w:rsid w:val="26F50ECF"/>
    <w:rsid w:val="288C0AD1"/>
    <w:rsid w:val="28B9454B"/>
    <w:rsid w:val="294112ED"/>
    <w:rsid w:val="29600FE2"/>
    <w:rsid w:val="2B324C15"/>
    <w:rsid w:val="2E655220"/>
    <w:rsid w:val="2E6F5E08"/>
    <w:rsid w:val="30616F19"/>
    <w:rsid w:val="312F1AC0"/>
    <w:rsid w:val="31BC6206"/>
    <w:rsid w:val="322F118E"/>
    <w:rsid w:val="324C2C1B"/>
    <w:rsid w:val="32AA2AF2"/>
    <w:rsid w:val="33297820"/>
    <w:rsid w:val="336310A3"/>
    <w:rsid w:val="336F7122"/>
    <w:rsid w:val="35BE446B"/>
    <w:rsid w:val="36505423"/>
    <w:rsid w:val="36916B63"/>
    <w:rsid w:val="36C66DC0"/>
    <w:rsid w:val="36F3207A"/>
    <w:rsid w:val="382C6FBA"/>
    <w:rsid w:val="382F6795"/>
    <w:rsid w:val="385E49A0"/>
    <w:rsid w:val="38B67DD8"/>
    <w:rsid w:val="391E6270"/>
    <w:rsid w:val="398971C3"/>
    <w:rsid w:val="3A304770"/>
    <w:rsid w:val="3A3E3F2E"/>
    <w:rsid w:val="3AF34B49"/>
    <w:rsid w:val="3B1614FB"/>
    <w:rsid w:val="3C26797D"/>
    <w:rsid w:val="3C3851F6"/>
    <w:rsid w:val="3C4820EF"/>
    <w:rsid w:val="3CB15A93"/>
    <w:rsid w:val="3CC011A2"/>
    <w:rsid w:val="3DF103A1"/>
    <w:rsid w:val="3E504DD7"/>
    <w:rsid w:val="3F540C80"/>
    <w:rsid w:val="3FBA61C3"/>
    <w:rsid w:val="3FE46215"/>
    <w:rsid w:val="403E4741"/>
    <w:rsid w:val="40433620"/>
    <w:rsid w:val="40DE14A6"/>
    <w:rsid w:val="4282559E"/>
    <w:rsid w:val="42B56994"/>
    <w:rsid w:val="42BE55D0"/>
    <w:rsid w:val="436A7B31"/>
    <w:rsid w:val="43B72559"/>
    <w:rsid w:val="452941FE"/>
    <w:rsid w:val="47F9707C"/>
    <w:rsid w:val="4848280C"/>
    <w:rsid w:val="48520D27"/>
    <w:rsid w:val="4A476332"/>
    <w:rsid w:val="4B3A6FB2"/>
    <w:rsid w:val="4B540F6E"/>
    <w:rsid w:val="4BF245A9"/>
    <w:rsid w:val="4D96641D"/>
    <w:rsid w:val="4DD56844"/>
    <w:rsid w:val="4E336C26"/>
    <w:rsid w:val="4ECF2BAE"/>
    <w:rsid w:val="4EFB0D9D"/>
    <w:rsid w:val="4F150D1F"/>
    <w:rsid w:val="4F1773E8"/>
    <w:rsid w:val="4F9F0CEC"/>
    <w:rsid w:val="50747859"/>
    <w:rsid w:val="515E5A32"/>
    <w:rsid w:val="52AF2670"/>
    <w:rsid w:val="55C47502"/>
    <w:rsid w:val="57B65E91"/>
    <w:rsid w:val="581D0006"/>
    <w:rsid w:val="58812FDC"/>
    <w:rsid w:val="588E7A2D"/>
    <w:rsid w:val="592B3256"/>
    <w:rsid w:val="59ED28CB"/>
    <w:rsid w:val="5B280017"/>
    <w:rsid w:val="5BA7303C"/>
    <w:rsid w:val="5BD6086B"/>
    <w:rsid w:val="5BDD1DCD"/>
    <w:rsid w:val="5C046C64"/>
    <w:rsid w:val="5C823C23"/>
    <w:rsid w:val="5D2A0630"/>
    <w:rsid w:val="5F8E52D4"/>
    <w:rsid w:val="5FA95DB7"/>
    <w:rsid w:val="60396F08"/>
    <w:rsid w:val="61205ADD"/>
    <w:rsid w:val="6365733C"/>
    <w:rsid w:val="647B1899"/>
    <w:rsid w:val="65186651"/>
    <w:rsid w:val="65433DC0"/>
    <w:rsid w:val="6724450E"/>
    <w:rsid w:val="69004041"/>
    <w:rsid w:val="690918A9"/>
    <w:rsid w:val="69D01645"/>
    <w:rsid w:val="6B453AEB"/>
    <w:rsid w:val="6C977E74"/>
    <w:rsid w:val="6CE71573"/>
    <w:rsid w:val="6D1258DF"/>
    <w:rsid w:val="6D3A7219"/>
    <w:rsid w:val="6EF44034"/>
    <w:rsid w:val="6F084D61"/>
    <w:rsid w:val="6F236A98"/>
    <w:rsid w:val="6F6A54D5"/>
    <w:rsid w:val="6F9F382F"/>
    <w:rsid w:val="709A3D79"/>
    <w:rsid w:val="71196E7B"/>
    <w:rsid w:val="71EE24E7"/>
    <w:rsid w:val="72EB1776"/>
    <w:rsid w:val="735F2A0F"/>
    <w:rsid w:val="739169EA"/>
    <w:rsid w:val="73E95232"/>
    <w:rsid w:val="7452662E"/>
    <w:rsid w:val="76BC72CD"/>
    <w:rsid w:val="76E704B1"/>
    <w:rsid w:val="77794DE5"/>
    <w:rsid w:val="7798016C"/>
    <w:rsid w:val="7A49658A"/>
    <w:rsid w:val="7AA34156"/>
    <w:rsid w:val="7AA74F05"/>
    <w:rsid w:val="7B9C0C09"/>
    <w:rsid w:val="7BC24193"/>
    <w:rsid w:val="7D4E3553"/>
    <w:rsid w:val="7F68026F"/>
    <w:rsid w:val="7FBE50E1"/>
    <w:rsid w:val="7FDA526E"/>
    <w:rsid w:val="7FE73FD5"/>
    <w:rsid w:val="F3FF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Calibri" w:hAnsi="Calibri"/>
      <w:szCs w:val="20"/>
    </w:rPr>
  </w:style>
  <w:style w:type="paragraph" w:styleId="3">
    <w:name w:val="annotation text"/>
    <w:basedOn w:val="1"/>
    <w:unhideWhenUsed/>
    <w:qFormat/>
    <w:uiPriority w:val="99"/>
    <w:pPr>
      <w:jc w:val="left"/>
    </w:pPr>
  </w:style>
  <w:style w:type="paragraph" w:styleId="4">
    <w:name w:val="Balloon Text"/>
    <w:basedOn w:val="1"/>
    <w:link w:val="20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annotation reference"/>
    <w:basedOn w:val="8"/>
    <w:unhideWhenUsed/>
    <w:qFormat/>
    <w:uiPriority w:val="99"/>
    <w:rPr>
      <w:sz w:val="21"/>
      <w:szCs w:val="21"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8"/>
    <w:link w:val="5"/>
    <w:qFormat/>
    <w:uiPriority w:val="99"/>
    <w:rPr>
      <w:sz w:val="18"/>
      <w:szCs w:val="18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paragraph" w:customStyle="1" w:styleId="16">
    <w:name w:val="列出段落12"/>
    <w:basedOn w:val="1"/>
    <w:qFormat/>
    <w:uiPriority w:val="34"/>
    <w:pPr>
      <w:ind w:firstLine="420" w:firstLineChars="200"/>
    </w:pPr>
  </w:style>
  <w:style w:type="paragraph" w:customStyle="1" w:styleId="17">
    <w:name w:val="列出段落1111"/>
    <w:basedOn w:val="1"/>
    <w:qFormat/>
    <w:uiPriority w:val="99"/>
    <w:pPr>
      <w:ind w:firstLine="420" w:firstLineChars="200"/>
    </w:pPr>
    <w:rPr>
      <w:rFonts w:ascii="宋体" w:hAnsi="宋体"/>
      <w:szCs w:val="21"/>
    </w:rPr>
  </w:style>
  <w:style w:type="paragraph" w:customStyle="1" w:styleId="18">
    <w:name w:val="列出段落11"/>
    <w:basedOn w:val="1"/>
    <w:qFormat/>
    <w:uiPriority w:val="99"/>
    <w:pPr>
      <w:ind w:firstLine="420" w:firstLineChars="200"/>
    </w:pPr>
    <w:rPr>
      <w:rFonts w:ascii="宋体" w:hAnsi="宋体"/>
      <w:szCs w:val="21"/>
    </w:rPr>
  </w:style>
  <w:style w:type="paragraph" w:customStyle="1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批注框文本 字符"/>
    <w:basedOn w:val="8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21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385</Words>
  <Characters>2197</Characters>
  <Lines>18</Lines>
  <Paragraphs>5</Paragraphs>
  <TotalTime>0</TotalTime>
  <ScaleCrop>false</ScaleCrop>
  <LinksUpToDate>false</LinksUpToDate>
  <CharactersWithSpaces>2577</CharactersWithSpaces>
  <Application>WPS Office_3.9.1.6204_F1E327BC-269C-435d-A152-05C5408002CA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2017-08-31T13:55:00Z</dcterms:created>
  <dc:creator>微软用户</dc:creator>
  <cp:lastModifiedBy>言知古</cp:lastModifiedBy>
  <dcterms:modified xsi:type="dcterms:W3CDTF">2021-10-23T13:31:13Z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2052-3.9.1.6204</vt:lpwstr>
  </property>
  <property fmtid="{D5CDD505-2E9C-101B-9397-08002B2CF9AE}" pid="3" name="ICV">
    <vt:lpwstr>6B9B331259544291BD3B081BA1602412</vt:lpwstr>
  </property>
</Properties>
</file>