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A08" w:rsidRPr="00D84DE1" w:rsidRDefault="00216880" w:rsidP="00D84DE1">
      <w:pPr>
        <w:spacing w:line="360" w:lineRule="auto"/>
        <w:jc w:val="center"/>
        <w:rPr>
          <w:rFonts w:ascii="宋体" w:hAnsi="宋体" w:cs="宋体"/>
          <w:b/>
          <w:bCs/>
          <w:sz w:val="28"/>
          <w:szCs w:val="28"/>
        </w:rPr>
      </w:pPr>
      <w:bookmarkStart w:id="0" w:name="_GoBack"/>
      <w:bookmarkEnd w:id="0"/>
      <w:r w:rsidRPr="00D84DE1">
        <w:rPr>
          <w:rFonts w:ascii="宋体" w:hAnsi="宋体" w:cs="宋体" w:hint="eastAsia"/>
          <w:b/>
          <w:bCs/>
          <w:sz w:val="28"/>
          <w:szCs w:val="28"/>
        </w:rPr>
        <w:t>浅谈“诗言志”与“诗缘情”</w:t>
      </w:r>
    </w:p>
    <w:p w:rsidR="00734A08" w:rsidRPr="00D84DE1" w:rsidRDefault="00216880" w:rsidP="00D84DE1">
      <w:pPr>
        <w:spacing w:line="360" w:lineRule="auto"/>
        <w:jc w:val="center"/>
        <w:rPr>
          <w:rFonts w:asciiTheme="majorEastAsia" w:eastAsiaTheme="majorEastAsia" w:hAnsiTheme="majorEastAsia" w:cs="楷体"/>
          <w:b/>
          <w:bCs/>
          <w:szCs w:val="21"/>
        </w:rPr>
      </w:pPr>
      <w:r w:rsidRPr="00D84DE1">
        <w:rPr>
          <w:rFonts w:asciiTheme="majorEastAsia" w:eastAsiaTheme="majorEastAsia" w:hAnsiTheme="majorEastAsia" w:cs="楷体" w:hint="eastAsia"/>
          <w:b/>
          <w:bCs/>
          <w:szCs w:val="21"/>
        </w:rPr>
        <w:t>陈可人</w:t>
      </w:r>
    </w:p>
    <w:p w:rsidR="00734A08" w:rsidRDefault="00216880" w:rsidP="00D84DE1">
      <w:pPr>
        <w:spacing w:line="360" w:lineRule="auto"/>
      </w:pPr>
      <w:r>
        <w:rPr>
          <w:rFonts w:hint="eastAsia"/>
        </w:rPr>
        <w:t xml:space="preserve">    </w:t>
      </w:r>
    </w:p>
    <w:p w:rsidR="00D84DE1" w:rsidRDefault="00216880" w:rsidP="00D84DE1">
      <w:pPr>
        <w:spacing w:line="360" w:lineRule="auto"/>
        <w:ind w:firstLineChars="200" w:firstLine="422"/>
      </w:pPr>
      <w:r>
        <w:rPr>
          <w:rFonts w:hint="eastAsia"/>
          <w:b/>
          <w:bCs/>
        </w:rPr>
        <w:t>摘要：</w:t>
      </w:r>
      <w:r>
        <w:rPr>
          <w:rFonts w:hint="eastAsia"/>
        </w:rPr>
        <w:t>文章重点辨析了“诗言志”与“诗缘情”两种概念的区别与联系。“志”和“情”都统属于人的思想感情，“志”发源于“情”，又是“情”的社会化规范和升华；但两者侧重点不同，特性也不同。</w:t>
      </w:r>
    </w:p>
    <w:p w:rsidR="00D84DE1" w:rsidRDefault="00216880" w:rsidP="00D84DE1">
      <w:pPr>
        <w:spacing w:line="360" w:lineRule="auto"/>
        <w:ind w:firstLineChars="200" w:firstLine="422"/>
      </w:pPr>
      <w:r>
        <w:rPr>
          <w:rFonts w:hint="eastAsia"/>
          <w:b/>
          <w:bCs/>
        </w:rPr>
        <w:t>关键词：</w:t>
      </w:r>
      <w:r>
        <w:rPr>
          <w:rFonts w:hint="eastAsia"/>
        </w:rPr>
        <w:t>诗言志；诗缘情；志；情</w:t>
      </w:r>
    </w:p>
    <w:p w:rsidR="00D84DE1" w:rsidRDefault="00D84DE1" w:rsidP="00D84DE1">
      <w:pPr>
        <w:spacing w:line="360" w:lineRule="auto"/>
        <w:ind w:firstLineChars="200" w:firstLine="420"/>
      </w:pPr>
    </w:p>
    <w:p w:rsidR="00734A08" w:rsidRDefault="00216880" w:rsidP="00D84DE1">
      <w:pPr>
        <w:spacing w:line="360" w:lineRule="auto"/>
        <w:ind w:firstLineChars="200" w:firstLine="420"/>
      </w:pPr>
      <w:r>
        <w:rPr>
          <w:rFonts w:hint="eastAsia"/>
        </w:rPr>
        <w:t>中国古典诗歌理论中有“诗言志”和“诗缘情”两种不同的观点，古往今来有很多的争论，但是研究者们议论纷纷，莫衷一是。笔者结合自己的心得体验，谈谈对此问题粗浅的认识。</w:t>
      </w:r>
    </w:p>
    <w:p w:rsidR="00734A08" w:rsidRDefault="00216880" w:rsidP="00D84DE1">
      <w:pPr>
        <w:spacing w:line="360" w:lineRule="auto"/>
      </w:pPr>
      <w:r>
        <w:rPr>
          <w:rFonts w:hint="eastAsia"/>
        </w:rPr>
        <w:t xml:space="preserve">    </w:t>
      </w:r>
      <w:r>
        <w:rPr>
          <w:rFonts w:hint="eastAsia"/>
        </w:rPr>
        <w:t>诗言志</w:t>
      </w:r>
      <w:proofErr w:type="gramStart"/>
      <w:r>
        <w:rPr>
          <w:rFonts w:hint="eastAsia"/>
        </w:rPr>
        <w:t>”</w:t>
      </w:r>
      <w:proofErr w:type="gramEnd"/>
      <w:r>
        <w:rPr>
          <w:rFonts w:hint="eastAsia"/>
        </w:rPr>
        <w:t>的理论形成得很早，在《尚书·尧典》中就有记载：</w:t>
      </w:r>
    </w:p>
    <w:p w:rsidR="00734A08" w:rsidRDefault="00216880" w:rsidP="00D84DE1">
      <w:pPr>
        <w:spacing w:line="360" w:lineRule="auto"/>
      </w:pPr>
      <w:r>
        <w:rPr>
          <w:rFonts w:ascii="楷体" w:eastAsia="楷体" w:hAnsi="楷体" w:cs="楷体" w:hint="eastAsia"/>
        </w:rPr>
        <w:t xml:space="preserve">    帝曰:“</w:t>
      </w:r>
      <w:proofErr w:type="gramStart"/>
      <w:r>
        <w:rPr>
          <w:rFonts w:ascii="楷体" w:eastAsia="楷体" w:hAnsi="楷体" w:cs="楷体" w:hint="eastAsia"/>
        </w:rPr>
        <w:t>夔</w:t>
      </w:r>
      <w:proofErr w:type="gramEnd"/>
      <w:r>
        <w:rPr>
          <w:rFonts w:ascii="楷体" w:eastAsia="楷体" w:hAnsi="楷体" w:cs="楷体" w:hint="eastAsia"/>
        </w:rPr>
        <w:t>，命女典乐，教</w:t>
      </w:r>
      <w:proofErr w:type="gramStart"/>
      <w:r>
        <w:rPr>
          <w:rFonts w:ascii="楷体" w:eastAsia="楷体" w:hAnsi="楷体" w:cs="楷体" w:hint="eastAsia"/>
        </w:rPr>
        <w:t>胄</w:t>
      </w:r>
      <w:proofErr w:type="gramEnd"/>
      <w:r>
        <w:rPr>
          <w:rFonts w:ascii="楷体" w:eastAsia="楷体" w:hAnsi="楷体" w:cs="楷体" w:hint="eastAsia"/>
        </w:rPr>
        <w:t>子。直而温，宽而栗，刚而无</w:t>
      </w:r>
      <w:proofErr w:type="gramStart"/>
      <w:r>
        <w:rPr>
          <w:rFonts w:ascii="楷体" w:eastAsia="楷体" w:hAnsi="楷体" w:cs="楷体" w:hint="eastAsia"/>
        </w:rPr>
        <w:t>虐</w:t>
      </w:r>
      <w:proofErr w:type="gramEnd"/>
      <w:r>
        <w:rPr>
          <w:rFonts w:ascii="楷体" w:eastAsia="楷体" w:hAnsi="楷体" w:cs="楷体" w:hint="eastAsia"/>
        </w:rPr>
        <w:t>，简而无傲。诗言志，歌永言，声依永，律和声，八音克</w:t>
      </w:r>
      <w:proofErr w:type="gramStart"/>
      <w:r>
        <w:rPr>
          <w:rFonts w:ascii="楷体" w:eastAsia="楷体" w:hAnsi="楷体" w:cs="楷体" w:hint="eastAsia"/>
        </w:rPr>
        <w:t>谐</w:t>
      </w:r>
      <w:proofErr w:type="gramEnd"/>
      <w:r>
        <w:rPr>
          <w:rFonts w:ascii="楷体" w:eastAsia="楷体" w:hAnsi="楷体" w:cs="楷体" w:hint="eastAsia"/>
        </w:rPr>
        <w:t>，无相夺伦，神人以</w:t>
      </w:r>
      <w:proofErr w:type="gramStart"/>
      <w:r>
        <w:rPr>
          <w:rFonts w:ascii="楷体" w:eastAsia="楷体" w:hAnsi="楷体" w:cs="楷体" w:hint="eastAsia"/>
        </w:rPr>
        <w:t>和</w:t>
      </w:r>
      <w:proofErr w:type="gramEnd"/>
      <w:r>
        <w:rPr>
          <w:rFonts w:ascii="楷体" w:eastAsia="楷体" w:hAnsi="楷体" w:cs="楷体" w:hint="eastAsia"/>
        </w:rPr>
        <w:t>。”</w:t>
      </w:r>
      <w:proofErr w:type="gramStart"/>
      <w:r>
        <w:rPr>
          <w:rFonts w:ascii="楷体" w:eastAsia="楷体" w:hAnsi="楷体" w:cs="楷体" w:hint="eastAsia"/>
        </w:rPr>
        <w:t>夔</w:t>
      </w:r>
      <w:proofErr w:type="gramEnd"/>
      <w:r>
        <w:rPr>
          <w:rFonts w:ascii="楷体" w:eastAsia="楷体" w:hAnsi="楷体" w:cs="楷体" w:hint="eastAsia"/>
        </w:rPr>
        <w:t>曰:“</w:t>
      </w:r>
      <w:proofErr w:type="gramStart"/>
      <w:r>
        <w:rPr>
          <w:rFonts w:ascii="楷体" w:eastAsia="楷体" w:hAnsi="楷体" w:cs="楷体" w:hint="eastAsia"/>
        </w:rPr>
        <w:t>於</w:t>
      </w:r>
      <w:proofErr w:type="gramEnd"/>
      <w:r>
        <w:rPr>
          <w:rFonts w:ascii="楷体" w:eastAsia="楷体" w:hAnsi="楷体" w:cs="楷体" w:hint="eastAsia"/>
        </w:rPr>
        <w:t>，予击石</w:t>
      </w:r>
      <w:proofErr w:type="gramStart"/>
      <w:r>
        <w:rPr>
          <w:rFonts w:ascii="楷体" w:eastAsia="楷体" w:hAnsi="楷体" w:cs="楷体" w:hint="eastAsia"/>
        </w:rPr>
        <w:t>拊</w:t>
      </w:r>
      <w:proofErr w:type="gramEnd"/>
      <w:r>
        <w:rPr>
          <w:rFonts w:ascii="楷体" w:eastAsia="楷体" w:hAnsi="楷体" w:cs="楷体" w:hint="eastAsia"/>
        </w:rPr>
        <w:t>石，百兽率舞。”</w:t>
      </w:r>
      <w:r>
        <w:rPr>
          <w:rFonts w:ascii="宋体" w:hAnsi="宋体" w:cs="宋体" w:hint="eastAsia"/>
          <w:b/>
          <w:bCs/>
          <w:vertAlign w:val="superscript"/>
        </w:rPr>
        <w:t>[1]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陆机的《文赋》则提倡诗歌言情的审美价值，他鼓吹“诗缘情而绮靡”，突出诗歌贵在表现人的真情实感，绮靡既是柔美的艺术风格，也是与前人刚健明朗之“志”的不同情思。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诗到底应该“缘情”还是“言志”，关键在于对“情”和“志”两个字的理解。“志者，意也。”“意者，志也。”《说文》中两字互训，志是一种意念，一种感情，一种思想活动。它是一种经过理性提炼、伦理规范，社会认同的公共的“情”，而不是个人自发的，不合规范的“私情”，纯以私人的情欲为核心，多</w:t>
      </w:r>
      <w:proofErr w:type="gramStart"/>
      <w:r>
        <w:rPr>
          <w:rFonts w:hint="eastAsia"/>
        </w:rPr>
        <w:t>不足登</w:t>
      </w:r>
      <w:proofErr w:type="gramEnd"/>
      <w:r>
        <w:rPr>
          <w:rFonts w:hint="eastAsia"/>
        </w:rPr>
        <w:t>大雅之堂。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也就是说志是一种合礼之情，“发乎情，止乎礼”。合礼之情谓之志，比如报效国家，光耀门楣，本是个人对家国的私人爱慕，但因合乎礼法，合于</w:t>
      </w:r>
      <w:proofErr w:type="gramStart"/>
      <w:r>
        <w:rPr>
          <w:rFonts w:hint="eastAsia"/>
        </w:rPr>
        <w:t>世</w:t>
      </w:r>
      <w:proofErr w:type="gramEnd"/>
      <w:r>
        <w:rPr>
          <w:rFonts w:hint="eastAsia"/>
        </w:rPr>
        <w:t>见，便成一种可嘉之志，是私情的社会化、理智化、礼法化、规范化。这种情况既发于内又合于外，便名其曰志，成为儒家诗教中把个人感情与人伦社会相</w:t>
      </w:r>
      <w:proofErr w:type="gramStart"/>
      <w:r>
        <w:rPr>
          <w:rFonts w:hint="eastAsia"/>
        </w:rPr>
        <w:t>谐</w:t>
      </w:r>
      <w:proofErr w:type="gramEnd"/>
      <w:r>
        <w:rPr>
          <w:rFonts w:hint="eastAsia"/>
        </w:rPr>
        <w:t>同的重要理论范畴。所以孔颖达在《毛诗正义序》里说：“夫《诗》者，论功颂德之歌，止</w:t>
      </w:r>
      <w:proofErr w:type="gramStart"/>
      <w:r>
        <w:rPr>
          <w:rFonts w:hint="eastAsia"/>
        </w:rPr>
        <w:t>僻</w:t>
      </w:r>
      <w:proofErr w:type="gramEnd"/>
      <w:r>
        <w:rPr>
          <w:rFonts w:hint="eastAsia"/>
        </w:rPr>
        <w:t>防邪之训，虽无为而自发，乃有益</w:t>
      </w:r>
      <w:proofErr w:type="gramStart"/>
      <w:r>
        <w:rPr>
          <w:rFonts w:hint="eastAsia"/>
        </w:rPr>
        <w:t>於</w:t>
      </w:r>
      <w:proofErr w:type="gramEnd"/>
      <w:r>
        <w:rPr>
          <w:rFonts w:hint="eastAsia"/>
        </w:rPr>
        <w:t>生灵。”</w:t>
      </w:r>
      <w:r>
        <w:rPr>
          <w:rFonts w:ascii="宋体" w:hAnsi="宋体" w:cs="宋体" w:hint="eastAsia"/>
          <w:b/>
          <w:bCs/>
          <w:vertAlign w:val="superscript"/>
        </w:rPr>
        <w:t>[2]</w:t>
      </w:r>
      <w:r>
        <w:rPr>
          <w:rFonts w:ascii="Arial" w:hAnsi="Arial" w:cs="Arial" w:hint="eastAsia"/>
          <w:szCs w:val="21"/>
          <w:shd w:val="clear" w:color="auto" w:fill="FFFFFF"/>
        </w:rPr>
        <w:t>诗中的“志”，虽然是自发的、真实的，但是能够“</w:t>
      </w:r>
      <w:r>
        <w:rPr>
          <w:rFonts w:hint="eastAsia"/>
        </w:rPr>
        <w:t>止</w:t>
      </w:r>
      <w:proofErr w:type="gramStart"/>
      <w:r>
        <w:rPr>
          <w:rFonts w:hint="eastAsia"/>
        </w:rPr>
        <w:t>僻</w:t>
      </w:r>
      <w:proofErr w:type="gramEnd"/>
      <w:r>
        <w:rPr>
          <w:rFonts w:hint="eastAsia"/>
        </w:rPr>
        <w:t>防邪</w:t>
      </w:r>
      <w:r>
        <w:rPr>
          <w:rFonts w:ascii="Arial" w:hAnsi="Arial" w:cs="Arial" w:hint="eastAsia"/>
          <w:szCs w:val="21"/>
          <w:shd w:val="clear" w:color="auto" w:fill="FFFFFF"/>
        </w:rPr>
        <w:t>”，“</w:t>
      </w:r>
      <w:r>
        <w:rPr>
          <w:rFonts w:hint="eastAsia"/>
        </w:rPr>
        <w:t>有益於生灵”。这样的</w:t>
      </w:r>
      <w:proofErr w:type="gramStart"/>
      <w:r>
        <w:rPr>
          <w:rFonts w:hint="eastAsia"/>
        </w:rPr>
        <w:t>志显然</w:t>
      </w:r>
      <w:proofErr w:type="gramEnd"/>
      <w:r>
        <w:rPr>
          <w:rFonts w:hint="eastAsia"/>
        </w:rPr>
        <w:t>是经过沉淀和取舍的。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而“缘情”之“情”更多指一个相当个人的与社会规范有所疏离，与集体意识有所偏差</w:t>
      </w:r>
      <w:r>
        <w:rPr>
          <w:rFonts w:hint="eastAsia"/>
        </w:rPr>
        <w:lastRenderedPageBreak/>
        <w:t>的情愫，特别是男女之情，或称爱情，是传统礼教所不提倡的。所以单纯的“窈窕淑女，君子好</w:t>
      </w:r>
      <w:proofErr w:type="gramStart"/>
      <w:r>
        <w:rPr>
          <w:rFonts w:hint="eastAsia"/>
        </w:rPr>
        <w:t>逑</w:t>
      </w:r>
      <w:proofErr w:type="gramEnd"/>
      <w:r>
        <w:rPr>
          <w:rFonts w:hint="eastAsia"/>
        </w:rPr>
        <w:t>”要被解读为歌颂“后妃之德”，因为夫妇之间的相敬相亲，有别有序，是人伦纲常之始，而非男女之间的狎昵情欲。</w:t>
      </w:r>
    </w:p>
    <w:p w:rsidR="00734A08" w:rsidRDefault="00216880" w:rsidP="00D84DE1">
      <w:pPr>
        <w:spacing w:line="360" w:lineRule="auto"/>
        <w:ind w:firstLine="420"/>
        <w:rPr>
          <w:rFonts w:ascii="Arial" w:hAnsi="Arial" w:cs="Arial"/>
          <w:szCs w:val="21"/>
          <w:shd w:val="clear" w:color="auto" w:fill="FFFFFF"/>
        </w:rPr>
      </w:pPr>
      <w:r>
        <w:rPr>
          <w:rFonts w:ascii="Arial" w:hAnsi="Arial" w:cs="Arial" w:hint="eastAsia"/>
          <w:szCs w:val="21"/>
          <w:shd w:val="clear" w:color="auto" w:fill="FFFFFF"/>
        </w:rPr>
        <w:t>但是，“志”与“情”又不是判然有别、截然对立的，两者之间有着密切的联系，《诗大序》中说：</w:t>
      </w:r>
    </w:p>
    <w:p w:rsidR="00734A08" w:rsidRDefault="00216880" w:rsidP="00D84DE1">
      <w:pPr>
        <w:spacing w:line="360" w:lineRule="auto"/>
        <w:rPr>
          <w:rFonts w:ascii="宋体" w:hAnsi="宋体" w:cs="宋体"/>
          <w:b/>
          <w:bCs/>
          <w:vertAlign w:val="superscript"/>
        </w:rPr>
      </w:pPr>
      <w:r>
        <w:rPr>
          <w:rFonts w:ascii="楷体" w:eastAsia="楷体" w:hAnsi="楷体" w:cs="楷体" w:hint="eastAsia"/>
          <w:szCs w:val="21"/>
          <w:shd w:val="clear" w:color="auto" w:fill="FFFFFF"/>
        </w:rPr>
        <w:t xml:space="preserve">    诗者，志之所之也，在心为志，发言为诗，情动于中而形于言，言之不足，故嗟叹之，嗟叹之不足，故咏歌之，咏歌之不足，不知手之舞之足之蹈之也。</w:t>
      </w:r>
      <w:r>
        <w:rPr>
          <w:rFonts w:ascii="宋体" w:hAnsi="宋体" w:cs="宋体" w:hint="eastAsia"/>
          <w:b/>
          <w:bCs/>
          <w:vertAlign w:val="superscript"/>
        </w:rPr>
        <w:t xml:space="preserve">[3] 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可见“情”是“志”的来源，内心中有了情绪、情感的波动，这是自然的心理活动，而这些“情”可以通过艺术性的语言抒发出来，就成为了诗，可以歌咏，可以随之舞蹈。但是这些原生态的诗情感比较驳杂，难免有邪僻之语，因此需要进行筛选整理，使其符合“温柔敦厚”的诗教，可以发挥“兴观群怨”的作用。最著名的孔子整理《诗》，作为教育弟子的教材，暗含了的“情”与“志”的关系。子曰：“《诗》三百，一言以蔽之，曰思无邪。”所谓“思无邪”，就是思想纯正。孔子用来概括《诗经》中所有的篇目，可见孔子取诗的标准，在于思想感情的纯正，这些纯正典雅的情思，才是真正的“志”，只有蕴含无邪之志的诗篇才可以“</w:t>
      </w:r>
      <w:proofErr w:type="gramStart"/>
      <w:r>
        <w:rPr>
          <w:rFonts w:hint="eastAsia"/>
        </w:rPr>
        <w:t>迩</w:t>
      </w:r>
      <w:proofErr w:type="gramEnd"/>
      <w:r>
        <w:rPr>
          <w:rFonts w:hint="eastAsia"/>
        </w:rPr>
        <w:t>之事亲，远之事君”。即比较堂皇正大的观点必须借助《诗》才能很好地表达，所谓“不学诗，无以言”。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在中国这样一个重集体、轻个人的社会中，“情”之地位当然远不及“志”，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公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私，一礼一偏，上下自分，但人终有“情”，所以缘情一派，虽不是名教正统，但势力很大，佳作更多，也更值得玩味。特别是在“文人自觉”和“文学自觉”之后，“情”虽然在名位上低于“志”，但实际上已成为文学的中坚。</w:t>
      </w:r>
    </w:p>
    <w:p w:rsidR="00734A08" w:rsidRDefault="00216880" w:rsidP="00D84DE1">
      <w:pPr>
        <w:spacing w:line="360" w:lineRule="auto"/>
        <w:ind w:firstLine="420"/>
        <w:rPr>
          <w:rFonts w:ascii="楷体" w:eastAsia="楷体" w:hAnsi="楷体" w:cs="楷体"/>
        </w:rPr>
      </w:pPr>
      <w:r>
        <w:rPr>
          <w:rFonts w:hint="eastAsia"/>
        </w:rPr>
        <w:t>另外，朱东润先生对于“志”和“情”的区别有一个与众不同的观点，也可以给我们一些参考和启迪，他在《诗法举隅》一书的序言中写道：</w:t>
      </w:r>
    </w:p>
    <w:p w:rsidR="00734A08" w:rsidRDefault="00216880" w:rsidP="00D84DE1">
      <w:pPr>
        <w:spacing w:line="360" w:lineRule="auto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古人说：“诗言志”又说：“诗者志之所之也”又说：“诗可以兴，可以观，可以群，可以怨，</w:t>
      </w:r>
      <w:proofErr w:type="gramStart"/>
      <w:r>
        <w:rPr>
          <w:rFonts w:ascii="楷体" w:eastAsia="楷体" w:hAnsi="楷体" w:cs="楷体" w:hint="eastAsia"/>
        </w:rPr>
        <w:t>迩</w:t>
      </w:r>
      <w:proofErr w:type="gramEnd"/>
      <w:r>
        <w:rPr>
          <w:rFonts w:ascii="楷体" w:eastAsia="楷体" w:hAnsi="楷体" w:cs="楷体" w:hint="eastAsia"/>
        </w:rPr>
        <w:t>之事亲，远之事君，多识于鸟兽草木之色”</w:t>
      </w:r>
      <w:proofErr w:type="gramStart"/>
      <w:r>
        <w:rPr>
          <w:rFonts w:ascii="楷体" w:eastAsia="楷体" w:hAnsi="楷体" w:cs="楷体" w:hint="eastAsia"/>
        </w:rPr>
        <w:t>托兴观</w:t>
      </w:r>
      <w:proofErr w:type="gramEnd"/>
      <w:r>
        <w:rPr>
          <w:rFonts w:ascii="楷体" w:eastAsia="楷体" w:hAnsi="楷体" w:cs="楷体" w:hint="eastAsia"/>
        </w:rPr>
        <w:t>群怨之感，尊之则上同于君亲，贱之则同于鸟兽草木，实在有些不伦不类。</w:t>
      </w:r>
    </w:p>
    <w:p w:rsidR="00734A08" w:rsidRDefault="00216880" w:rsidP="00D84DE1">
      <w:pPr>
        <w:spacing w:line="360" w:lineRule="auto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诗人之志，似乎不应如此，虽然，有说。</w:t>
      </w:r>
    </w:p>
    <w:p w:rsidR="00734A08" w:rsidRDefault="00216880" w:rsidP="00D84DE1">
      <w:pPr>
        <w:spacing w:line="360" w:lineRule="auto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t>段玉裁注《说文》云：“《周礼》保章氏注云：‘志，古文识。’盖古文有志无识，小篆方有识字。今人分志向一字，识记一字，知识一字，古只有一字一音。”推是以论诗言志者，</w:t>
      </w:r>
      <w:proofErr w:type="gramStart"/>
      <w:r>
        <w:rPr>
          <w:rFonts w:ascii="楷体" w:eastAsia="楷体" w:hAnsi="楷体" w:cs="楷体" w:hint="eastAsia"/>
        </w:rPr>
        <w:t>诗言识</w:t>
      </w:r>
      <w:proofErr w:type="gramEnd"/>
      <w:r>
        <w:rPr>
          <w:rFonts w:ascii="楷体" w:eastAsia="楷体" w:hAnsi="楷体" w:cs="楷体" w:hint="eastAsia"/>
        </w:rPr>
        <w:t>也，诗者志之所之也识之所之也。事君</w:t>
      </w:r>
      <w:proofErr w:type="gramStart"/>
      <w:r>
        <w:rPr>
          <w:rFonts w:ascii="楷体" w:eastAsia="楷体" w:hAnsi="楷体" w:cs="楷体" w:hint="eastAsia"/>
        </w:rPr>
        <w:t>君</w:t>
      </w:r>
      <w:proofErr w:type="gramEnd"/>
      <w:r>
        <w:rPr>
          <w:rFonts w:ascii="楷体" w:eastAsia="楷体" w:hAnsi="楷体" w:cs="楷体" w:hint="eastAsia"/>
        </w:rPr>
        <w:t>事亲则有识，鸟兽草木则有识，其尊卑诚有别，其记载则宜无异。</w:t>
      </w:r>
    </w:p>
    <w:p w:rsidR="00734A08" w:rsidRDefault="00216880" w:rsidP="00D84DE1">
      <w:pPr>
        <w:spacing w:line="360" w:lineRule="auto"/>
        <w:ind w:firstLine="420"/>
        <w:rPr>
          <w:rFonts w:ascii="楷体" w:eastAsia="楷体" w:hAnsi="楷体" w:cs="楷体"/>
        </w:rPr>
      </w:pPr>
      <w:r>
        <w:rPr>
          <w:rFonts w:ascii="楷体" w:eastAsia="楷体" w:hAnsi="楷体" w:cs="楷体" w:hint="eastAsia"/>
        </w:rPr>
        <w:lastRenderedPageBreak/>
        <w:t>诗之言志，其义</w:t>
      </w:r>
      <w:proofErr w:type="gramStart"/>
      <w:r>
        <w:rPr>
          <w:rFonts w:ascii="楷体" w:eastAsia="楷体" w:hAnsi="楷体" w:cs="楷体" w:hint="eastAsia"/>
        </w:rPr>
        <w:t>固在于</w:t>
      </w:r>
      <w:proofErr w:type="gramEnd"/>
      <w:r>
        <w:rPr>
          <w:rFonts w:ascii="楷体" w:eastAsia="楷体" w:hAnsi="楷体" w:cs="楷体" w:hint="eastAsia"/>
        </w:rPr>
        <w:t>此，言志是第一义，其次是言情。</w:t>
      </w:r>
      <w:r>
        <w:rPr>
          <w:rFonts w:ascii="宋体" w:hAnsi="宋体" w:cs="宋体" w:hint="eastAsia"/>
          <w:b/>
          <w:bCs/>
          <w:vertAlign w:val="superscript"/>
        </w:rPr>
        <w:t>[4]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他认为“志”与“识”相同，有记录、认知的意思，所谓的诗言志，就是诗歌是用来记载所见所闻所感的工具，这是诗歌最重要的功用，其次才是言情。这里就是把“言志”和“缘情”截然分开，一个是记叙，一个是抒情。这种观点谈到了二者的区别，却忽略了二者的联系，且仅仅用一个字的训诂就推翻诸多文艺现象和规律的实际，笔者实在不敢苟同。</w:t>
      </w:r>
    </w:p>
    <w:p w:rsidR="00734A08" w:rsidRDefault="00216880" w:rsidP="00D84DE1">
      <w:pPr>
        <w:spacing w:line="360" w:lineRule="auto"/>
        <w:ind w:firstLine="420"/>
      </w:pPr>
      <w:r>
        <w:rPr>
          <w:rFonts w:hint="eastAsia"/>
        </w:rPr>
        <w:t>总之，“志”和“情”都统属于人的思想感情，而侧重点不同，特性不同，所以争论不休。其实平心而论，文学诗章，公私皆不可废，“志”有志的崇高，“情”有情的魅力，合则双美，离则两伤。中国诗文正因“志”、“情”并举，各领风骚，才有了举世瞩目的辉煌。</w:t>
      </w:r>
    </w:p>
    <w:p w:rsidR="00734A08" w:rsidRDefault="00734A08" w:rsidP="00D84DE1">
      <w:pPr>
        <w:spacing w:line="360" w:lineRule="auto"/>
      </w:pPr>
    </w:p>
    <w:p w:rsidR="00734A08" w:rsidRDefault="00216880" w:rsidP="00D84DE1">
      <w:pPr>
        <w:spacing w:line="360" w:lineRule="auto"/>
        <w:rPr>
          <w:b/>
          <w:bCs/>
        </w:rPr>
      </w:pPr>
      <w:r>
        <w:rPr>
          <w:rFonts w:hint="eastAsia"/>
          <w:b/>
          <w:bCs/>
        </w:rPr>
        <w:t>参考文献：</w:t>
      </w:r>
    </w:p>
    <w:p w:rsidR="00734A08" w:rsidRDefault="00216880" w:rsidP="00D84DE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[1]</w:t>
      </w:r>
      <w:proofErr w:type="gramStart"/>
      <w:r>
        <w:rPr>
          <w:rFonts w:ascii="宋体" w:hAnsi="宋体" w:cs="宋体" w:hint="eastAsia"/>
        </w:rPr>
        <w:t>慕平译注</w:t>
      </w:r>
      <w:proofErr w:type="gramEnd"/>
      <w:r>
        <w:rPr>
          <w:rFonts w:ascii="宋体" w:hAnsi="宋体" w:cs="宋体" w:hint="eastAsia"/>
        </w:rPr>
        <w:t>《尚书》，中华书局，2009年9月，第30页。</w:t>
      </w:r>
    </w:p>
    <w:p w:rsidR="00734A08" w:rsidRDefault="00216880" w:rsidP="00D84DE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[2]</w:t>
      </w:r>
      <w:r>
        <w:rPr>
          <w:rFonts w:ascii="宋体" w:hAnsi="宋体" w:cs="宋体" w:hint="eastAsia"/>
          <w:szCs w:val="21"/>
          <w:shd w:val="clear" w:color="auto" w:fill="FFFFFF"/>
        </w:rPr>
        <w:t>李学勤主编《十三经注疏·毛诗正义》，北京大学出版社，1999年12月，第3页。</w:t>
      </w:r>
    </w:p>
    <w:p w:rsidR="00734A08" w:rsidRDefault="00216880" w:rsidP="00D84DE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[3]</w:t>
      </w:r>
      <w:r>
        <w:rPr>
          <w:rFonts w:ascii="宋体" w:hAnsi="宋体" w:cs="宋体" w:hint="eastAsia"/>
          <w:szCs w:val="21"/>
          <w:shd w:val="clear" w:color="auto" w:fill="FFFFFF"/>
        </w:rPr>
        <w:t xml:space="preserve">李学勤主编《十三经注疏·毛诗正义》，北京大学出版社，1999年12月，第6页。  </w:t>
      </w:r>
    </w:p>
    <w:p w:rsidR="00734A08" w:rsidRDefault="00216880" w:rsidP="00D84DE1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[4]林东海著《诗法举隅》，上海文艺出版社，1981年6月，第5-6页。</w:t>
      </w:r>
    </w:p>
    <w:sectPr w:rsidR="00734A08" w:rsidSect="00734A0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6124" w:rsidRDefault="00A16124" w:rsidP="008D22DC">
      <w:r>
        <w:separator/>
      </w:r>
    </w:p>
  </w:endnote>
  <w:endnote w:type="continuationSeparator" w:id="0">
    <w:p w:rsidR="00A16124" w:rsidRDefault="00A16124" w:rsidP="008D22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space">
    <w:altName w:val="Times New Roman"/>
    <w:charset w:val="00"/>
    <w:family w:val="auto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 Unicode MS"/>
    <w:charset w:val="00"/>
    <w:family w:val="auto"/>
    <w:pitch w:val="default"/>
    <w:sig w:usb0="00000001" w:usb1="4000207B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6124" w:rsidRDefault="00A16124" w:rsidP="008D22DC">
      <w:r>
        <w:separator/>
      </w:r>
    </w:p>
  </w:footnote>
  <w:footnote w:type="continuationSeparator" w:id="0">
    <w:p w:rsidR="00A16124" w:rsidRDefault="00A16124" w:rsidP="008D22D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6BB53162"/>
    <w:rsid w:val="00216880"/>
    <w:rsid w:val="00272F10"/>
    <w:rsid w:val="00734A08"/>
    <w:rsid w:val="008D22DC"/>
    <w:rsid w:val="00A16124"/>
    <w:rsid w:val="00D84DE1"/>
    <w:rsid w:val="1C855294"/>
    <w:rsid w:val="23626E56"/>
    <w:rsid w:val="2A62694C"/>
    <w:rsid w:val="3A96592C"/>
    <w:rsid w:val="3C50083F"/>
    <w:rsid w:val="44A93FA2"/>
    <w:rsid w:val="567F3DF3"/>
    <w:rsid w:val="61C072DB"/>
    <w:rsid w:val="68BF123D"/>
    <w:rsid w:val="6BB5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HTML Variable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4A08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734A0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734A0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Strong"/>
    <w:basedOn w:val="a0"/>
    <w:qFormat/>
    <w:rsid w:val="00734A08"/>
    <w:rPr>
      <w:b/>
    </w:rPr>
  </w:style>
  <w:style w:type="character" w:styleId="a6">
    <w:name w:val="FollowedHyperlink"/>
    <w:basedOn w:val="a0"/>
    <w:qFormat/>
    <w:rsid w:val="00734A08"/>
    <w:rPr>
      <w:color w:val="338DE6"/>
      <w:u w:val="none"/>
    </w:rPr>
  </w:style>
  <w:style w:type="character" w:styleId="a7">
    <w:name w:val="Emphasis"/>
    <w:basedOn w:val="a0"/>
    <w:qFormat/>
    <w:rsid w:val="00734A08"/>
    <w:rPr>
      <w:u w:val="single"/>
    </w:rPr>
  </w:style>
  <w:style w:type="character" w:styleId="HTML">
    <w:name w:val="HTML Definition"/>
    <w:basedOn w:val="a0"/>
    <w:qFormat/>
    <w:rsid w:val="00734A08"/>
  </w:style>
  <w:style w:type="character" w:styleId="HTML0">
    <w:name w:val="HTML Variable"/>
    <w:basedOn w:val="a0"/>
    <w:qFormat/>
    <w:rsid w:val="00734A08"/>
  </w:style>
  <w:style w:type="character" w:styleId="a8">
    <w:name w:val="Hyperlink"/>
    <w:basedOn w:val="a0"/>
    <w:qFormat/>
    <w:rsid w:val="00734A08"/>
    <w:rPr>
      <w:color w:val="0000FF"/>
      <w:u w:val="single"/>
    </w:rPr>
  </w:style>
  <w:style w:type="character" w:styleId="HTML1">
    <w:name w:val="HTML Code"/>
    <w:basedOn w:val="a0"/>
    <w:qFormat/>
    <w:rsid w:val="00734A08"/>
    <w:rPr>
      <w:rFonts w:ascii="monospace" w:eastAsia="monospace" w:hAnsi="monospace" w:cs="monospace" w:hint="default"/>
      <w:sz w:val="21"/>
      <w:szCs w:val="21"/>
    </w:rPr>
  </w:style>
  <w:style w:type="character" w:styleId="HTML2">
    <w:name w:val="HTML Cite"/>
    <w:basedOn w:val="a0"/>
    <w:rsid w:val="00734A08"/>
  </w:style>
  <w:style w:type="character" w:styleId="HTML3">
    <w:name w:val="HTML Keyboard"/>
    <w:basedOn w:val="a0"/>
    <w:qFormat/>
    <w:rsid w:val="00734A08"/>
    <w:rPr>
      <w:rFonts w:ascii="monospace" w:eastAsia="monospace" w:hAnsi="monospace" w:cs="monospace"/>
      <w:sz w:val="21"/>
      <w:szCs w:val="21"/>
    </w:rPr>
  </w:style>
  <w:style w:type="character" w:styleId="HTML4">
    <w:name w:val="HTML Sample"/>
    <w:basedOn w:val="a0"/>
    <w:qFormat/>
    <w:rsid w:val="00734A08"/>
    <w:rPr>
      <w:rFonts w:ascii="monospace" w:eastAsia="monospace" w:hAnsi="monospace" w:cs="monospace" w:hint="default"/>
      <w:sz w:val="21"/>
      <w:szCs w:val="21"/>
    </w:rPr>
  </w:style>
  <w:style w:type="character" w:customStyle="1" w:styleId="fontborder">
    <w:name w:val="fontborder"/>
    <w:basedOn w:val="a0"/>
    <w:qFormat/>
    <w:rsid w:val="00734A08"/>
    <w:rPr>
      <w:bdr w:val="single" w:sz="6" w:space="0" w:color="000000"/>
    </w:rPr>
  </w:style>
  <w:style w:type="character" w:customStyle="1" w:styleId="fontstrikethrough">
    <w:name w:val="fontstrikethrough"/>
    <w:basedOn w:val="a0"/>
    <w:qFormat/>
    <w:rsid w:val="00734A08"/>
    <w:rPr>
      <w:strike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2238</Words>
  <Characters>2274</Characters>
  <Application>Microsoft Office Word</Application>
  <DocSecurity>0</DocSecurity>
  <Lines>73</Lines>
  <Paragraphs>27</Paragraphs>
  <ScaleCrop>false</ScaleCrop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5</cp:revision>
  <dcterms:created xsi:type="dcterms:W3CDTF">2017-02-23T05:08:00Z</dcterms:created>
  <dcterms:modified xsi:type="dcterms:W3CDTF">2017-03-05T00:11:00Z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