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吴春颖：探路者</w:t>
      </w:r>
    </w:p>
    <w:p>
      <w:pPr>
        <w:spacing w:line="360" w:lineRule="auto"/>
        <w:ind w:firstLine="482" w:firstLineChars="200"/>
        <w:jc w:val="center"/>
        <w:rPr>
          <w:rFonts w:hint="eastAsia" w:ascii="宋体" w:hAnsi="宋体" w:eastAsia="宋体" w:cs="宋体"/>
          <w:b/>
          <w:bCs/>
          <w:color w:val="000000"/>
          <w:sz w:val="24"/>
          <w:szCs w:val="24"/>
          <w:lang w:eastAsia="zh-CN"/>
        </w:rPr>
      </w:pPr>
    </w:p>
    <w:p>
      <w:pPr>
        <w:spacing w:line="360" w:lineRule="auto"/>
        <w:ind w:firstLine="482" w:firstLineChars="200"/>
        <w:rPr>
          <w:rFonts w:ascii="仿宋_GB2312" w:hAnsi="Times New Roman" w:eastAsia="仿宋_GB2312" w:cs="仿宋_GB2312"/>
          <w:color w:val="000000"/>
          <w:sz w:val="24"/>
          <w:szCs w:val="24"/>
        </w:rPr>
      </w:pPr>
      <w:r>
        <w:rPr>
          <w:rFonts w:hint="eastAsia" w:ascii="宋体" w:hAnsi="宋体" w:eastAsia="宋体" w:cs="宋体"/>
          <w:b/>
          <w:bCs/>
          <w:color w:val="000000"/>
          <w:sz w:val="24"/>
          <w:szCs w:val="24"/>
          <w:lang w:eastAsia="zh-CN"/>
        </w:rPr>
        <w:pict>
          <v:shape id="_x0000_s1026" o:spid="_x0000_s1026" o:spt="75" alt="94届吴春颖" type="#_x0000_t75" style="position:absolute;left:0pt;margin-left:24.9pt;margin-top:9.95pt;height:137.4pt;width:100.8pt;mso-wrap-distance-bottom:0pt;mso-wrap-distance-left:9pt;mso-wrap-distance-right:9pt;mso-wrap-distance-top:0pt;z-index:251658240;mso-width-relative:page;mso-height-relative:page;" filled="f" o:preferrelative="t" stroked="f" coordsize="21600,21600">
            <v:path/>
            <v:fill on="f" focussize="0,0"/>
            <v:stroke on="f"/>
            <v:imagedata r:id="rId4" croptop="5863f" o:title="94届吴春颖"/>
            <o:lock v:ext="edit" aspectratio="t"/>
            <w10:wrap type="square"/>
          </v:shape>
        </w:pict>
      </w:r>
      <w:r>
        <w:rPr>
          <w:rFonts w:hint="eastAsia" w:ascii="仿宋_GB2312" w:hAnsi="Times New Roman" w:eastAsia="仿宋_GB2312" w:cs="仿宋_GB2312"/>
          <w:color w:val="000000"/>
          <w:sz w:val="24"/>
          <w:szCs w:val="24"/>
        </w:rPr>
        <w:t>吴春颖，</w:t>
      </w:r>
      <w:r>
        <w:rPr>
          <w:rFonts w:hint="eastAsia" w:ascii="仿宋_GB2312" w:hAnsi="Times New Roman" w:eastAsia="仿宋_GB2312" w:cs="仿宋_GB2312"/>
          <w:color w:val="000000"/>
          <w:sz w:val="24"/>
          <w:szCs w:val="24"/>
          <w:lang w:val="en-US" w:eastAsia="zh-CN"/>
        </w:rPr>
        <w:t>1</w:t>
      </w:r>
      <w:bookmarkStart w:id="0" w:name="_GoBack"/>
      <w:bookmarkEnd w:id="0"/>
      <w:r>
        <w:rPr>
          <w:rFonts w:ascii="仿宋_GB2312" w:hAnsi="Times New Roman" w:eastAsia="仿宋_GB2312" w:cs="仿宋_GB2312"/>
          <w:color w:val="000000"/>
          <w:sz w:val="24"/>
          <w:szCs w:val="24"/>
        </w:rPr>
        <w:t>976</w:t>
      </w:r>
      <w:r>
        <w:rPr>
          <w:rFonts w:hint="eastAsia" w:ascii="仿宋_GB2312" w:hAnsi="Times New Roman" w:eastAsia="仿宋_GB2312" w:cs="仿宋_GB2312"/>
          <w:color w:val="000000"/>
          <w:sz w:val="24"/>
          <w:szCs w:val="24"/>
        </w:rPr>
        <w:t>年</w:t>
      </w:r>
      <w:r>
        <w:rPr>
          <w:rFonts w:ascii="仿宋_GB2312" w:hAnsi="Times New Roman" w:eastAsia="仿宋_GB2312" w:cs="仿宋_GB2312"/>
          <w:color w:val="000000"/>
          <w:sz w:val="24"/>
          <w:szCs w:val="24"/>
        </w:rPr>
        <w:t>6</w:t>
      </w:r>
      <w:r>
        <w:rPr>
          <w:rFonts w:hint="eastAsia" w:ascii="仿宋_GB2312" w:hAnsi="Times New Roman" w:eastAsia="仿宋_GB2312" w:cs="仿宋_GB2312"/>
          <w:color w:val="000000"/>
          <w:sz w:val="24"/>
          <w:szCs w:val="24"/>
        </w:rPr>
        <w:t>月生，</w:t>
      </w:r>
      <w:r>
        <w:rPr>
          <w:rFonts w:ascii="仿宋_GB2312" w:hAnsi="Times New Roman" w:eastAsia="仿宋_GB2312" w:cs="仿宋_GB2312"/>
          <w:color w:val="000000"/>
          <w:sz w:val="24"/>
          <w:szCs w:val="24"/>
        </w:rPr>
        <w:t>1988</w:t>
      </w:r>
      <w:r>
        <w:rPr>
          <w:rFonts w:hint="eastAsia" w:ascii="仿宋_GB2312" w:hAnsi="Times New Roman" w:eastAsia="仿宋_GB2312" w:cs="仿宋_GB2312"/>
          <w:color w:val="000000"/>
          <w:sz w:val="24"/>
          <w:szCs w:val="24"/>
        </w:rPr>
        <w:t>-</w:t>
      </w:r>
      <w:r>
        <w:rPr>
          <w:rFonts w:ascii="仿宋_GB2312" w:hAnsi="Times New Roman" w:eastAsia="仿宋_GB2312" w:cs="仿宋_GB2312"/>
          <w:color w:val="000000"/>
          <w:sz w:val="24"/>
          <w:szCs w:val="24"/>
        </w:rPr>
        <w:t>1994</w:t>
      </w:r>
      <w:r>
        <w:rPr>
          <w:rFonts w:hint="eastAsia" w:ascii="仿宋_GB2312" w:hAnsi="Times New Roman" w:eastAsia="仿宋_GB2312" w:cs="仿宋_GB2312"/>
          <w:color w:val="000000"/>
          <w:sz w:val="24"/>
          <w:szCs w:val="24"/>
        </w:rPr>
        <w:t>年就读于南京市金陵中学。博士，研究员级高级工程师，上海交通大学固体力学专业，中国科协九大代表，江苏省“</w:t>
      </w:r>
      <w:r>
        <w:rPr>
          <w:rFonts w:ascii="仿宋_GB2312" w:hAnsi="Times New Roman" w:eastAsia="仿宋_GB2312" w:cs="仿宋_GB2312"/>
          <w:color w:val="000000"/>
          <w:sz w:val="24"/>
          <w:szCs w:val="24"/>
        </w:rPr>
        <w:t>333</w:t>
      </w:r>
      <w:r>
        <w:rPr>
          <w:rFonts w:hint="eastAsia" w:ascii="仿宋_GB2312" w:hAnsi="Times New Roman" w:eastAsia="仿宋_GB2312" w:cs="仿宋_GB2312"/>
          <w:color w:val="000000"/>
          <w:sz w:val="24"/>
          <w:szCs w:val="24"/>
        </w:rPr>
        <w:t>”高层次人才培养对象。现就职于苏交科集团股份有限公司，任交通科学研究院副总工程师，同时兼任河海大学产业教授，主要研究方向包括沥青路面结构、新型道路材料、绿色公路等，获江苏省科技进步奖、中国公路学会科学技术特等奖，拥有国家专利</w:t>
      </w:r>
      <w:r>
        <w:rPr>
          <w:rFonts w:ascii="仿宋_GB2312" w:hAnsi="Times New Roman" w:eastAsia="仿宋_GB2312" w:cs="仿宋_GB2312"/>
          <w:color w:val="000000"/>
          <w:sz w:val="24"/>
          <w:szCs w:val="24"/>
        </w:rPr>
        <w:t>14</w:t>
      </w:r>
      <w:r>
        <w:rPr>
          <w:rFonts w:hint="eastAsia" w:ascii="仿宋_GB2312" w:hAnsi="Times New Roman" w:eastAsia="仿宋_GB2312" w:cs="仿宋_GB2312"/>
          <w:color w:val="000000"/>
          <w:sz w:val="24"/>
          <w:szCs w:val="24"/>
        </w:rPr>
        <w:t>项。</w:t>
      </w:r>
    </w:p>
    <w:p>
      <w:pPr>
        <w:spacing w:line="360" w:lineRule="auto"/>
        <w:ind w:firstLine="480" w:firstLineChars="200"/>
        <w:rPr>
          <w:rFonts w:hint="eastAsia" w:ascii="仿宋_GB2312" w:hAnsi="Times New Roman" w:eastAsia="仿宋_GB2312" w:cs="Times New Roman"/>
          <w:color w:val="000000"/>
          <w:sz w:val="24"/>
          <w:szCs w:val="24"/>
        </w:rPr>
      </w:pPr>
    </w:p>
    <w:p>
      <w:pPr>
        <w:spacing w:line="360" w:lineRule="auto"/>
        <w:jc w:val="center"/>
        <w:rPr>
          <w:rFonts w:ascii="宋体" w:hAnsi="宋体" w:cs="微软雅黑"/>
          <w:b/>
          <w:bCs/>
          <w:color w:val="000000"/>
          <w:sz w:val="24"/>
          <w:szCs w:val="24"/>
        </w:rPr>
      </w:pPr>
      <w:r>
        <w:rPr>
          <w:rFonts w:hint="eastAsia" w:ascii="宋体" w:hAnsi="宋体" w:cs="微软雅黑"/>
          <w:b/>
          <w:bCs/>
          <w:color w:val="000000"/>
          <w:sz w:val="24"/>
          <w:szCs w:val="24"/>
        </w:rPr>
        <w:t>铸科技重剑，展巾帼英姿</w:t>
      </w:r>
    </w:p>
    <w:p>
      <w:pPr>
        <w:spacing w:line="360" w:lineRule="auto"/>
        <w:ind w:firstLine="480" w:firstLineChars="200"/>
        <w:rPr>
          <w:rFonts w:hint="eastAsia" w:ascii="Times New Roman" w:hAnsi="Times New Roman" w:cs="宋体"/>
          <w:color w:val="000000"/>
          <w:sz w:val="24"/>
          <w:szCs w:val="24"/>
        </w:rPr>
      </w:pPr>
      <w:r>
        <w:rPr>
          <w:rFonts w:hint="eastAsia" w:ascii="Times New Roman" w:hAnsi="Times New Roman" w:cs="宋体"/>
          <w:color w:val="000000"/>
          <w:sz w:val="24"/>
          <w:szCs w:val="24"/>
        </w:rPr>
        <w:t>自</w:t>
      </w:r>
      <w:r>
        <w:rPr>
          <w:rFonts w:ascii="Times New Roman" w:hAnsi="Times New Roman" w:cs="Times New Roman"/>
          <w:color w:val="000000"/>
          <w:sz w:val="24"/>
          <w:szCs w:val="24"/>
        </w:rPr>
        <w:t>2006</w:t>
      </w:r>
      <w:r>
        <w:rPr>
          <w:rFonts w:hint="eastAsia" w:ascii="Times New Roman" w:hAnsi="Times New Roman" w:cs="宋体"/>
          <w:color w:val="000000"/>
          <w:sz w:val="24"/>
          <w:szCs w:val="24"/>
        </w:rPr>
        <w:t>年从事道路交通相关科研与工程工作以来，吴春颖作为项目负责人或技术负责人主持完成了江苏省科技成果转化专项资金项目“废旧轮胎资源化生产高性能橡胶沥青和工程化应用成套技术研发及产业化”、江苏省交通运输科技项目“江苏省高速公路沥青路面节能减排养护技术研究”等科技项目近</w:t>
      </w:r>
      <w:r>
        <w:rPr>
          <w:rFonts w:ascii="Times New Roman" w:hAnsi="Times New Roman" w:cs="Times New Roman"/>
          <w:color w:val="000000"/>
          <w:sz w:val="24"/>
          <w:szCs w:val="24"/>
        </w:rPr>
        <w:t>20</w:t>
      </w:r>
      <w:r>
        <w:rPr>
          <w:rFonts w:hint="eastAsia" w:ascii="Times New Roman" w:hAnsi="Times New Roman" w:cs="宋体"/>
          <w:color w:val="000000"/>
          <w:sz w:val="24"/>
          <w:szCs w:val="24"/>
        </w:rPr>
        <w:t>项；正从事江苏省交通科技十三五重大专项“高速公路路面结构长期保存技术及智能养护”等项目的研究，累计获江苏省科技进步三等奖、中国公路学会特等奖等省部级以上奖项</w:t>
      </w:r>
      <w:r>
        <w:rPr>
          <w:rFonts w:ascii="Times New Roman" w:hAnsi="Times New Roman" w:cs="Times New Roman"/>
          <w:color w:val="000000"/>
          <w:sz w:val="24"/>
          <w:szCs w:val="24"/>
        </w:rPr>
        <w:t>20</w:t>
      </w:r>
      <w:r>
        <w:rPr>
          <w:rFonts w:hint="eastAsia" w:ascii="Times New Roman" w:hAnsi="Times New Roman" w:cs="宋体"/>
          <w:color w:val="000000"/>
          <w:sz w:val="24"/>
          <w:szCs w:val="24"/>
        </w:rPr>
        <w:t>项；作为第一著作者编写并出版了专著《贵州公路沥青路面新材料与新技术》；完成了</w:t>
      </w:r>
      <w:r>
        <w:rPr>
          <w:rFonts w:ascii="Times New Roman" w:hAnsi="Times New Roman" w:cs="Times New Roman"/>
          <w:color w:val="000000"/>
          <w:sz w:val="24"/>
          <w:szCs w:val="24"/>
        </w:rPr>
        <w:t>2</w:t>
      </w:r>
      <w:r>
        <w:rPr>
          <w:rFonts w:hint="eastAsia" w:ascii="Times New Roman" w:hAnsi="Times New Roman" w:cs="宋体"/>
          <w:color w:val="000000"/>
          <w:sz w:val="24"/>
          <w:szCs w:val="24"/>
        </w:rPr>
        <w:t>部江苏省地方标准的编制，参与了住建部标准《橡胶沥青路面技术规程》的编制，积极开展应用基础研究、重大关键技术研究、前瞻性技术研究及相关共性技术研究工作。</w:t>
      </w:r>
    </w:p>
    <w:p>
      <w:pPr>
        <w:spacing w:line="360" w:lineRule="auto"/>
        <w:ind w:firstLine="480" w:firstLineChars="200"/>
        <w:rPr>
          <w:rFonts w:hint="eastAsia" w:ascii="Times New Roman" w:hAnsi="Times New Roman" w:cs="宋体"/>
          <w:color w:val="000000"/>
          <w:sz w:val="24"/>
          <w:szCs w:val="24"/>
        </w:rPr>
      </w:pPr>
    </w:p>
    <w:p>
      <w:pPr>
        <w:spacing w:line="360" w:lineRule="auto"/>
        <w:jc w:val="center"/>
        <w:rPr>
          <w:rFonts w:ascii="宋体" w:hAnsi="宋体" w:cs="微软雅黑"/>
          <w:b/>
          <w:bCs/>
          <w:color w:val="000000"/>
          <w:sz w:val="24"/>
          <w:szCs w:val="24"/>
        </w:rPr>
      </w:pPr>
      <w:r>
        <w:rPr>
          <w:rFonts w:hint="eastAsia" w:ascii="宋体" w:hAnsi="宋体" w:cs="微软雅黑"/>
          <w:b/>
          <w:bCs/>
          <w:color w:val="000000"/>
          <w:sz w:val="24"/>
          <w:szCs w:val="24"/>
        </w:rPr>
        <w:t>一路艰险闯高原，满腔热忱缀青山</w:t>
      </w:r>
    </w:p>
    <w:p>
      <w:pPr>
        <w:spacing w:line="360" w:lineRule="auto"/>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2014</w:t>
      </w:r>
      <w:r>
        <w:rPr>
          <w:rFonts w:hint="eastAsia" w:ascii="Times New Roman" w:hAnsi="Times New Roman" w:cs="宋体"/>
          <w:color w:val="000000"/>
          <w:sz w:val="24"/>
          <w:szCs w:val="24"/>
        </w:rPr>
        <w:t>年，吴春颖承担了理亚公路的建设咨询工作</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理亚公路</w:t>
      </w:r>
      <w:r>
        <w:rPr>
          <w:rFonts w:hint="eastAsia" w:ascii="Times New Roman" w:hAnsi="Times New Roman" w:cs="宋体"/>
          <w:color w:val="000000"/>
          <w:sz w:val="24"/>
          <w:szCs w:val="24"/>
          <w:lang w:eastAsia="zh-CN"/>
        </w:rPr>
        <w:t>是</w:t>
      </w:r>
      <w:r>
        <w:rPr>
          <w:rFonts w:hint="eastAsia" w:ascii="Times New Roman" w:hAnsi="Times New Roman" w:cs="宋体"/>
          <w:color w:val="000000"/>
          <w:sz w:val="24"/>
          <w:szCs w:val="24"/>
        </w:rPr>
        <w:t>通往圣城亚丁的必经之路</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位于青藏高原东南部的四川甘孜州理塘县和稻城县境内，属于川西高原区</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该路段最低海拔</w:t>
      </w:r>
      <w:r>
        <w:rPr>
          <w:rFonts w:ascii="Times New Roman" w:hAnsi="Times New Roman" w:cs="Times New Roman"/>
          <w:color w:val="000000"/>
          <w:sz w:val="24"/>
          <w:szCs w:val="24"/>
        </w:rPr>
        <w:t>3500m</w:t>
      </w:r>
      <w:r>
        <w:rPr>
          <w:rFonts w:hint="eastAsia" w:ascii="Times New Roman" w:hAnsi="Times New Roman" w:cs="宋体"/>
          <w:color w:val="000000"/>
          <w:sz w:val="24"/>
          <w:szCs w:val="24"/>
        </w:rPr>
        <w:t>，最高海拔</w:t>
      </w:r>
      <w:r>
        <w:rPr>
          <w:rFonts w:ascii="Times New Roman" w:hAnsi="Times New Roman" w:cs="Times New Roman"/>
          <w:color w:val="000000"/>
          <w:sz w:val="24"/>
          <w:szCs w:val="24"/>
        </w:rPr>
        <w:t>4600m</w:t>
      </w:r>
      <w:r>
        <w:rPr>
          <w:rFonts w:hint="eastAsia" w:ascii="Times New Roman" w:hAnsi="Times New Roman" w:cs="宋体"/>
          <w:color w:val="000000"/>
          <w:sz w:val="24"/>
          <w:szCs w:val="24"/>
        </w:rPr>
        <w:t>，</w:t>
      </w:r>
      <w:r>
        <w:rPr>
          <w:rFonts w:hint="eastAsia" w:ascii="Times New Roman" w:hAnsi="Times New Roman" w:cs="宋体"/>
          <w:color w:val="000000"/>
          <w:sz w:val="24"/>
          <w:szCs w:val="24"/>
          <w:lang w:eastAsia="zh-CN"/>
        </w:rPr>
        <w:t>并且</w:t>
      </w:r>
      <w:r>
        <w:rPr>
          <w:rFonts w:hint="eastAsia" w:ascii="Times New Roman" w:hAnsi="Times New Roman" w:cs="宋体"/>
          <w:color w:val="000000"/>
          <w:sz w:val="24"/>
          <w:szCs w:val="24"/>
        </w:rPr>
        <w:t>寒冷、干燥、温差大、紫外线</w:t>
      </w:r>
      <w:r>
        <w:rPr>
          <w:rFonts w:hint="eastAsia" w:ascii="Times New Roman" w:hAnsi="Times New Roman" w:cs="宋体"/>
          <w:color w:val="000000"/>
          <w:sz w:val="24"/>
          <w:szCs w:val="24"/>
          <w:lang w:eastAsia="zh-CN"/>
        </w:rPr>
        <w:t>强烈，</w:t>
      </w:r>
      <w:r>
        <w:rPr>
          <w:rFonts w:hint="eastAsia" w:ascii="Times New Roman" w:hAnsi="Times New Roman" w:cs="宋体"/>
          <w:color w:val="000000"/>
          <w:sz w:val="24"/>
          <w:szCs w:val="24"/>
        </w:rPr>
        <w:t>在道路工作者的眼中每一项</w:t>
      </w:r>
      <w:r>
        <w:rPr>
          <w:rFonts w:hint="eastAsia" w:ascii="Times New Roman" w:hAnsi="Times New Roman" w:cs="宋体"/>
          <w:color w:val="000000"/>
          <w:sz w:val="24"/>
          <w:szCs w:val="24"/>
          <w:lang w:eastAsia="zh-CN"/>
        </w:rPr>
        <w:t>都</w:t>
      </w:r>
      <w:r>
        <w:rPr>
          <w:rFonts w:hint="eastAsia" w:ascii="Times New Roman" w:hAnsi="Times New Roman" w:cs="宋体"/>
          <w:color w:val="000000"/>
          <w:sz w:val="24"/>
          <w:szCs w:val="24"/>
        </w:rPr>
        <w:t>足以让他们头疼。如此具有挑战的环境，并没有让她退却，她毅然带领技术团队挑战高原，克服高原反应、语言沟通</w:t>
      </w:r>
      <w:r>
        <w:rPr>
          <w:rFonts w:hint="eastAsia" w:ascii="Times New Roman" w:hAnsi="Times New Roman" w:cs="宋体"/>
          <w:color w:val="000000"/>
          <w:sz w:val="24"/>
          <w:szCs w:val="24"/>
          <w:lang w:eastAsia="zh-CN"/>
        </w:rPr>
        <w:t>障碍</w:t>
      </w:r>
      <w:r>
        <w:rPr>
          <w:rFonts w:hint="eastAsia" w:ascii="Times New Roman" w:hAnsi="Times New Roman" w:cs="宋体"/>
          <w:color w:val="000000"/>
          <w:sz w:val="24"/>
          <w:szCs w:val="24"/>
        </w:rPr>
        <w:t>等困难，结合“旅游公路”的特色，以“保护生态，提升质量”为目标，针对该地区高寒、高海拔、强紫外线的特点，研发了适合当地的筑路材料、筑路结构及施工工艺，并给予全程跟踪指导咨询，该项成果经专家鉴定达到了国际先进水平。</w:t>
      </w:r>
    </w:p>
    <w:p>
      <w:pPr>
        <w:spacing w:line="360" w:lineRule="auto"/>
        <w:ind w:firstLine="480" w:firstLineChars="200"/>
        <w:rPr>
          <w:rFonts w:hint="eastAsia" w:ascii="Times New Roman" w:hAnsi="Times New Roman" w:cs="宋体"/>
          <w:color w:val="000000"/>
          <w:sz w:val="24"/>
          <w:szCs w:val="24"/>
        </w:rPr>
      </w:pPr>
      <w:r>
        <w:rPr>
          <w:rFonts w:hint="eastAsia" w:ascii="Times New Roman" w:hAnsi="Times New Roman" w:cs="宋体"/>
          <w:color w:val="000000"/>
          <w:sz w:val="24"/>
          <w:szCs w:val="24"/>
        </w:rPr>
        <w:t>穿过青藏高原，来到云贵高原，在这里，</w:t>
      </w:r>
      <w:r>
        <w:rPr>
          <w:rFonts w:hint="eastAsia" w:ascii="Times New Roman" w:hAnsi="Times New Roman" w:cs="宋体"/>
          <w:color w:val="000000"/>
          <w:sz w:val="24"/>
          <w:szCs w:val="24"/>
          <w:lang w:eastAsia="zh-CN"/>
        </w:rPr>
        <w:t>吴春颖</w:t>
      </w:r>
      <w:r>
        <w:rPr>
          <w:rFonts w:hint="eastAsia" w:ascii="Times New Roman" w:hAnsi="Times New Roman" w:cs="宋体"/>
          <w:color w:val="000000"/>
          <w:sz w:val="24"/>
          <w:szCs w:val="24"/>
        </w:rPr>
        <w:t>白天走访当地业主，了解需求；晚上和团队加班策划方案，响应需求，经过几年的攻关和经营，技术咨询、监理监控、材料开发及产业化等业务模式在贵州当地遍地开花</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同时，</w:t>
      </w:r>
      <w:r>
        <w:rPr>
          <w:rFonts w:hint="eastAsia" w:ascii="Times New Roman" w:hAnsi="Times New Roman" w:cs="宋体"/>
          <w:color w:val="000000"/>
          <w:sz w:val="24"/>
          <w:szCs w:val="24"/>
          <w:lang w:eastAsia="zh-CN"/>
        </w:rPr>
        <w:t>她还</w:t>
      </w:r>
      <w:r>
        <w:rPr>
          <w:rFonts w:hint="eastAsia" w:ascii="Times New Roman" w:hAnsi="Times New Roman" w:cs="宋体"/>
          <w:color w:val="000000"/>
          <w:sz w:val="24"/>
          <w:szCs w:val="24"/>
        </w:rPr>
        <w:t>致力于加强区域团队构建与人才培养，现如今当初的团队成员多成为西南区域中心的骨干力量，中国公路学会科学技术二等奖等殊荣便是对这个团队的嘉奖。</w:t>
      </w:r>
    </w:p>
    <w:p>
      <w:pPr>
        <w:spacing w:line="360" w:lineRule="auto"/>
        <w:ind w:firstLine="480" w:firstLineChars="200"/>
        <w:rPr>
          <w:rFonts w:hint="eastAsia" w:ascii="Times New Roman" w:hAnsi="Times New Roman" w:cs="宋体"/>
          <w:color w:val="000000"/>
          <w:sz w:val="24"/>
          <w:szCs w:val="24"/>
        </w:rPr>
      </w:pPr>
    </w:p>
    <w:p>
      <w:pPr>
        <w:spacing w:line="360" w:lineRule="auto"/>
        <w:jc w:val="center"/>
        <w:rPr>
          <w:rFonts w:ascii="宋体" w:hAnsi="宋体" w:cs="微软雅黑"/>
          <w:b/>
          <w:bCs/>
          <w:color w:val="000000"/>
          <w:sz w:val="24"/>
          <w:szCs w:val="24"/>
        </w:rPr>
      </w:pPr>
      <w:r>
        <w:rPr>
          <w:rFonts w:hint="eastAsia" w:ascii="宋体" w:hAnsi="宋体" w:cs="微软雅黑"/>
          <w:b/>
          <w:bCs/>
          <w:color w:val="000000"/>
          <w:sz w:val="24"/>
          <w:szCs w:val="24"/>
        </w:rPr>
        <w:t>创绿色走廊，行低碳之路</w:t>
      </w:r>
    </w:p>
    <w:p>
      <w:pPr>
        <w:spacing w:line="360" w:lineRule="auto"/>
        <w:ind w:firstLine="480" w:firstLineChars="200"/>
        <w:rPr>
          <w:rFonts w:ascii="Times New Roman" w:hAnsi="Times New Roman" w:cs="Times New Roman"/>
          <w:color w:val="000000"/>
          <w:sz w:val="24"/>
          <w:szCs w:val="24"/>
        </w:rPr>
      </w:pPr>
      <w:r>
        <w:rPr>
          <w:rFonts w:hint="eastAsia" w:ascii="Times New Roman" w:hAnsi="Times New Roman" w:cs="宋体"/>
          <w:color w:val="000000"/>
          <w:sz w:val="24"/>
          <w:szCs w:val="24"/>
        </w:rPr>
        <w:t>目前我国每年产生的废旧轮胎数量已超亿个</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如何处理大量的废旧轮胎，一直是环境保护的世界性难题。基于此背景，</w:t>
      </w:r>
      <w:r>
        <w:rPr>
          <w:rFonts w:hint="eastAsia" w:ascii="Times New Roman" w:hAnsi="Times New Roman" w:cs="宋体"/>
          <w:color w:val="000000"/>
          <w:sz w:val="24"/>
          <w:szCs w:val="24"/>
          <w:lang w:eastAsia="zh-CN"/>
        </w:rPr>
        <w:t>吴春颖</w:t>
      </w:r>
      <w:r>
        <w:rPr>
          <w:rFonts w:hint="eastAsia" w:ascii="Times New Roman" w:hAnsi="Times New Roman" w:cs="宋体"/>
          <w:color w:val="000000"/>
          <w:sz w:val="24"/>
          <w:szCs w:val="24"/>
        </w:rPr>
        <w:t>主持了“废旧轮胎资源化生产高性能橡胶沥青和工程化应用成套技术研发及产业化”项目，完成了橡胶沥青系列产品的研发，提出相应的技术标准，研发了自主创新成套重大装备，重点攻克了产量效率</w:t>
      </w:r>
      <w:r>
        <w:rPr>
          <w:rFonts w:hint="eastAsia" w:ascii="Times New Roman" w:hAnsi="Times New Roman" w:cs="宋体"/>
          <w:color w:val="000000"/>
          <w:sz w:val="24"/>
          <w:szCs w:val="24"/>
          <w:lang w:eastAsia="zh-CN"/>
        </w:rPr>
        <w:t>、</w:t>
      </w:r>
      <w:r>
        <w:rPr>
          <w:rFonts w:hint="eastAsia" w:ascii="Times New Roman" w:hAnsi="Times New Roman" w:cs="宋体"/>
          <w:color w:val="000000"/>
          <w:sz w:val="24"/>
          <w:szCs w:val="24"/>
        </w:rPr>
        <w:t>存储稳定性和环境保护问题，为橡胶沥青大规模推广应用奠定基础，分类建立了橡胶沥青技术标准和体系，指导和规范各橡胶沥青在设计和施工中的应用，在宁杭、杭瑞高速大路段等工程中均取得了成功应用。项目获江苏省科技进步三等奖、中国公路学会科技进步二等奖、贵州省公路学会科学技术一等奖、江苏省优秀咨询成果一等奖等。目前她正</w:t>
      </w:r>
      <w:r>
        <w:rPr>
          <w:rFonts w:hint="eastAsia" w:ascii="Times New Roman" w:hAnsi="Times New Roman" w:cs="宋体"/>
          <w:color w:val="000000"/>
          <w:sz w:val="24"/>
          <w:szCs w:val="24"/>
          <w:lang w:eastAsia="zh-CN"/>
        </w:rPr>
        <w:t>从事</w:t>
      </w:r>
      <w:r>
        <w:rPr>
          <w:rFonts w:hint="eastAsia" w:ascii="Times New Roman" w:hAnsi="Times New Roman" w:cs="宋体"/>
          <w:color w:val="000000"/>
          <w:sz w:val="24"/>
          <w:szCs w:val="24"/>
        </w:rPr>
        <w:t>江苏省科技厅江苏省科技成果转化专项资金项目“环保冷拌型高粘韧树脂沥青与配套关键技术研发及产业化”</w:t>
      </w:r>
      <w:r>
        <w:rPr>
          <w:rFonts w:hint="eastAsia" w:ascii="Times New Roman" w:hAnsi="Times New Roman" w:cs="宋体"/>
          <w:color w:val="000000"/>
          <w:sz w:val="24"/>
          <w:szCs w:val="24"/>
          <w:lang w:eastAsia="zh-CN"/>
        </w:rPr>
        <w:t>的研究，</w:t>
      </w:r>
      <w:r>
        <w:rPr>
          <w:rFonts w:hint="eastAsia" w:ascii="Times New Roman" w:hAnsi="Times New Roman" w:cs="宋体"/>
          <w:color w:val="000000"/>
          <w:sz w:val="24"/>
          <w:szCs w:val="24"/>
        </w:rPr>
        <w:t>致力于开发出系列可常温施工的筑路材料，从而减少工程对环境的影响。在此基础上，她还参与了国内首条绿色公路示范工程宁宣高速公路改扩建工程的建设，正以她的方式响应着国家“创新、协调、绿色、开放、共享”的五大理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69D"/>
    <w:rsid w:val="0000172D"/>
    <w:rsid w:val="000453AC"/>
    <w:rsid w:val="00075AE8"/>
    <w:rsid w:val="00096DA6"/>
    <w:rsid w:val="000B21F3"/>
    <w:rsid w:val="000C2AB3"/>
    <w:rsid w:val="00145FD5"/>
    <w:rsid w:val="00147662"/>
    <w:rsid w:val="00150722"/>
    <w:rsid w:val="00174CD5"/>
    <w:rsid w:val="00183B63"/>
    <w:rsid w:val="0018512A"/>
    <w:rsid w:val="0018726B"/>
    <w:rsid w:val="0019774A"/>
    <w:rsid w:val="001A5164"/>
    <w:rsid w:val="001D076E"/>
    <w:rsid w:val="001D174C"/>
    <w:rsid w:val="001D7559"/>
    <w:rsid w:val="00200446"/>
    <w:rsid w:val="00203BF1"/>
    <w:rsid w:val="00212C79"/>
    <w:rsid w:val="002136A8"/>
    <w:rsid w:val="00253C69"/>
    <w:rsid w:val="00274B69"/>
    <w:rsid w:val="00284CB3"/>
    <w:rsid w:val="002976FF"/>
    <w:rsid w:val="002B21DC"/>
    <w:rsid w:val="00363969"/>
    <w:rsid w:val="00365B04"/>
    <w:rsid w:val="00387685"/>
    <w:rsid w:val="003928CB"/>
    <w:rsid w:val="00397C9D"/>
    <w:rsid w:val="003F1699"/>
    <w:rsid w:val="003F34EA"/>
    <w:rsid w:val="003F4AEA"/>
    <w:rsid w:val="003F7B31"/>
    <w:rsid w:val="0040019B"/>
    <w:rsid w:val="004241DC"/>
    <w:rsid w:val="00454945"/>
    <w:rsid w:val="00461F1D"/>
    <w:rsid w:val="004953D5"/>
    <w:rsid w:val="004963D9"/>
    <w:rsid w:val="004B6DE1"/>
    <w:rsid w:val="005068CF"/>
    <w:rsid w:val="00511A8C"/>
    <w:rsid w:val="00533CCE"/>
    <w:rsid w:val="00542D05"/>
    <w:rsid w:val="00592A2F"/>
    <w:rsid w:val="005D345D"/>
    <w:rsid w:val="005F1590"/>
    <w:rsid w:val="006060EF"/>
    <w:rsid w:val="00607693"/>
    <w:rsid w:val="006155FB"/>
    <w:rsid w:val="00621D3A"/>
    <w:rsid w:val="00622AE9"/>
    <w:rsid w:val="00633BFA"/>
    <w:rsid w:val="006838DD"/>
    <w:rsid w:val="006B0C49"/>
    <w:rsid w:val="006B7BFC"/>
    <w:rsid w:val="006D120E"/>
    <w:rsid w:val="006E2612"/>
    <w:rsid w:val="006E6E8B"/>
    <w:rsid w:val="00715197"/>
    <w:rsid w:val="00736D93"/>
    <w:rsid w:val="0074649F"/>
    <w:rsid w:val="007547EC"/>
    <w:rsid w:val="00777E04"/>
    <w:rsid w:val="007B043D"/>
    <w:rsid w:val="007B590A"/>
    <w:rsid w:val="007B7039"/>
    <w:rsid w:val="007F573A"/>
    <w:rsid w:val="00810782"/>
    <w:rsid w:val="00843AE9"/>
    <w:rsid w:val="008605C7"/>
    <w:rsid w:val="00861DB4"/>
    <w:rsid w:val="00874C12"/>
    <w:rsid w:val="0089008B"/>
    <w:rsid w:val="008A1F4B"/>
    <w:rsid w:val="008B00EE"/>
    <w:rsid w:val="008B0BD7"/>
    <w:rsid w:val="008C436F"/>
    <w:rsid w:val="008D47F5"/>
    <w:rsid w:val="008F3EDF"/>
    <w:rsid w:val="009171CB"/>
    <w:rsid w:val="00917B43"/>
    <w:rsid w:val="00953267"/>
    <w:rsid w:val="009811CA"/>
    <w:rsid w:val="00981F6E"/>
    <w:rsid w:val="009837AA"/>
    <w:rsid w:val="009B3CF3"/>
    <w:rsid w:val="009C12D3"/>
    <w:rsid w:val="009C3852"/>
    <w:rsid w:val="009D1F92"/>
    <w:rsid w:val="009D6A94"/>
    <w:rsid w:val="009E2866"/>
    <w:rsid w:val="009E5D98"/>
    <w:rsid w:val="00A320CE"/>
    <w:rsid w:val="00A36965"/>
    <w:rsid w:val="00A36E88"/>
    <w:rsid w:val="00A478CC"/>
    <w:rsid w:val="00A57F62"/>
    <w:rsid w:val="00A91250"/>
    <w:rsid w:val="00AC7CBC"/>
    <w:rsid w:val="00B12265"/>
    <w:rsid w:val="00B3548A"/>
    <w:rsid w:val="00B41E38"/>
    <w:rsid w:val="00B96FB1"/>
    <w:rsid w:val="00BB5E9B"/>
    <w:rsid w:val="00BB68A5"/>
    <w:rsid w:val="00C53100"/>
    <w:rsid w:val="00C61B79"/>
    <w:rsid w:val="00C8023A"/>
    <w:rsid w:val="00CB4671"/>
    <w:rsid w:val="00CE6DB7"/>
    <w:rsid w:val="00D51928"/>
    <w:rsid w:val="00D55338"/>
    <w:rsid w:val="00D55C1E"/>
    <w:rsid w:val="00DA1906"/>
    <w:rsid w:val="00DC37A1"/>
    <w:rsid w:val="00DD0BB1"/>
    <w:rsid w:val="00DF005E"/>
    <w:rsid w:val="00DF669D"/>
    <w:rsid w:val="00E26399"/>
    <w:rsid w:val="00E26BD3"/>
    <w:rsid w:val="00E27548"/>
    <w:rsid w:val="00E653C8"/>
    <w:rsid w:val="00E80C8B"/>
    <w:rsid w:val="00EB5E52"/>
    <w:rsid w:val="00ED4B36"/>
    <w:rsid w:val="00EE42C9"/>
    <w:rsid w:val="00EE6C22"/>
    <w:rsid w:val="00F84C3F"/>
    <w:rsid w:val="00FA3A4B"/>
    <w:rsid w:val="00FB57C0"/>
    <w:rsid w:val="00FC4B36"/>
    <w:rsid w:val="00FE68D8"/>
    <w:rsid w:val="0A656D64"/>
    <w:rsid w:val="0C6C5944"/>
    <w:rsid w:val="15831826"/>
    <w:rsid w:val="1BB03369"/>
    <w:rsid w:val="218A6D88"/>
    <w:rsid w:val="247B681F"/>
    <w:rsid w:val="24A34107"/>
    <w:rsid w:val="2747422D"/>
    <w:rsid w:val="30CA48DE"/>
    <w:rsid w:val="363D34B7"/>
    <w:rsid w:val="387C1D0C"/>
    <w:rsid w:val="473A2391"/>
    <w:rsid w:val="54AE3D03"/>
    <w:rsid w:val="59237016"/>
    <w:rsid w:val="68981A3A"/>
    <w:rsid w:val="75C709A0"/>
    <w:rsid w:val="791237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engXian" w:hAnsi="DengXian" w:eastAsia="DengXi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3"/>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7"/>
    <w:semiHidden/>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qFormat/>
    <w:uiPriority w:val="99"/>
    <w:rPr>
      <w:b/>
      <w:bCs/>
    </w:rPr>
  </w:style>
  <w:style w:type="character" w:styleId="9">
    <w:name w:val="Emphasis"/>
    <w:qFormat/>
    <w:uiPriority w:val="99"/>
    <w:rPr>
      <w:i/>
      <w:iCs/>
    </w:rPr>
  </w:style>
  <w:style w:type="character" w:styleId="10">
    <w:name w:val="Hyperlink"/>
    <w:semiHidden/>
    <w:qFormat/>
    <w:uiPriority w:val="99"/>
    <w:rPr>
      <w:color w:val="0000FF"/>
      <w:u w:val="single"/>
    </w:rPr>
  </w:style>
  <w:style w:type="table" w:styleId="12">
    <w:name w:val="Table Grid"/>
    <w:basedOn w:val="11"/>
    <w:qFormat/>
    <w:uiPriority w:val="99"/>
    <w:rPr>
      <w:rFonts w:cs="DengXi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标题 3 字符"/>
    <w:link w:val="2"/>
    <w:qFormat/>
    <w:locked/>
    <w:uiPriority w:val="99"/>
    <w:rPr>
      <w:rFonts w:ascii="宋体" w:hAnsi="宋体" w:eastAsia="宋体" w:cs="宋体"/>
      <w:b/>
      <w:bCs/>
      <w:kern w:val="0"/>
      <w:sz w:val="27"/>
      <w:szCs w:val="27"/>
    </w:rPr>
  </w:style>
  <w:style w:type="character" w:customStyle="1" w:styleId="14">
    <w:name w:val="页眉 字符"/>
    <w:link w:val="4"/>
    <w:qFormat/>
    <w:locked/>
    <w:uiPriority w:val="99"/>
    <w:rPr>
      <w:sz w:val="18"/>
      <w:szCs w:val="18"/>
    </w:rPr>
  </w:style>
  <w:style w:type="character" w:customStyle="1" w:styleId="15">
    <w:name w:val="页脚 字符"/>
    <w:link w:val="3"/>
    <w:qFormat/>
    <w:locked/>
    <w:uiPriority w:val="99"/>
    <w:rPr>
      <w:sz w:val="18"/>
      <w:szCs w:val="18"/>
    </w:rPr>
  </w:style>
  <w:style w:type="paragraph" w:customStyle="1" w:styleId="16">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7">
    <w:name w:val="HTML 预设格式 字符"/>
    <w:link w:val="5"/>
    <w:semiHidden/>
    <w:qFormat/>
    <w:locked/>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437</Words>
  <Characters>2497</Characters>
  <Lines>20</Lines>
  <Paragraphs>5</Paragraphs>
  <TotalTime>0</TotalTime>
  <ScaleCrop>false</ScaleCrop>
  <LinksUpToDate>false</LinksUpToDate>
  <CharactersWithSpaces>2929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2017-12-10T14:28:00Z</dcterms:created>
  <dc:creator>吕正龙</dc:creator>
  <cp:lastModifiedBy>杨敏</cp:lastModifiedBy>
  <cp:lastPrinted>2018-07-31T02:59:00Z</cp:lastPrinted>
  <dcterms:modified xsi:type="dcterms:W3CDTF">2018-07-31T03:25:36Z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2052-10.1.0.7400</vt:lpwstr>
  </property>
</Properties>
</file>